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CA2E85" w14:textId="6FBC6BB0" w:rsidR="006F7432" w:rsidRDefault="004E3C2C" w:rsidP="004E3C2C">
      <w:pPr>
        <w:jc w:val="both"/>
      </w:pPr>
      <w:r w:rsidRPr="006F7432">
        <w:rPr>
          <w:noProof/>
          <w:lang w:eastAsia="en-GB"/>
        </w:rPr>
        <w:drawing>
          <wp:anchor distT="0" distB="0" distL="114300" distR="114300" simplePos="0" relativeHeight="251658240" behindDoc="0" locked="0" layoutInCell="1" allowOverlap="0" wp14:anchorId="45FA9FDD" wp14:editId="71462639">
            <wp:simplePos x="0" y="0"/>
            <wp:positionH relativeFrom="column">
              <wp:posOffset>4001135</wp:posOffset>
            </wp:positionH>
            <wp:positionV relativeFrom="page">
              <wp:posOffset>104775</wp:posOffset>
            </wp:positionV>
            <wp:extent cx="2341880" cy="150495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341880" cy="150495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6F7432" w:rsidRPr="006F7432">
        <w:rPr>
          <w:noProof/>
          <w:lang w:eastAsia="en-GB"/>
        </w:rPr>
        <w:drawing>
          <wp:anchor distT="0" distB="0" distL="114300" distR="114300" simplePos="0" relativeHeight="251659264" behindDoc="0" locked="0" layoutInCell="1" allowOverlap="0" wp14:anchorId="2530FACB" wp14:editId="2A7C3E04">
            <wp:simplePos x="0" y="0"/>
            <wp:positionH relativeFrom="column">
              <wp:posOffset>-571500</wp:posOffset>
            </wp:positionH>
            <wp:positionV relativeFrom="page">
              <wp:posOffset>685800</wp:posOffset>
            </wp:positionV>
            <wp:extent cx="3458210" cy="993775"/>
            <wp:effectExtent l="0" t="0" r="0" b="0"/>
            <wp:wrapTopAndBottom/>
            <wp:docPr id="6" name="Picture 5" descr="Far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Farr Logo.jpg"/>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3458210" cy="993775"/>
                    </a:xfrm>
                    <a:prstGeom prst="rect">
                      <a:avLst/>
                    </a:prstGeom>
                  </pic:spPr>
                </pic:pic>
              </a:graphicData>
            </a:graphic>
          </wp:anchor>
        </w:drawing>
      </w:r>
      <w:hyperlink r:id="rId11" w:history="1">
        <w:r w:rsidR="005D313E" w:rsidRPr="00885D41">
          <w:rPr>
            <w:rStyle w:val="Hyperlink"/>
          </w:rPr>
          <w:t>www.farrinstitute.org</w:t>
        </w:r>
      </w:hyperlink>
      <w:r w:rsidR="005D313E">
        <w:tab/>
      </w:r>
      <w:r w:rsidR="005D313E">
        <w:tab/>
      </w:r>
      <w:r w:rsidR="005D313E">
        <w:tab/>
      </w:r>
      <w:r w:rsidR="005D313E">
        <w:tab/>
      </w:r>
      <w:r w:rsidR="005D313E">
        <w:tab/>
      </w:r>
      <w:r w:rsidR="005D313E">
        <w:tab/>
      </w:r>
      <w:r w:rsidR="005D313E">
        <w:tab/>
      </w:r>
      <w:hyperlink r:id="rId12" w:history="1">
        <w:r w:rsidR="005D313E" w:rsidRPr="00885D41">
          <w:rPr>
            <w:rStyle w:val="Hyperlink"/>
          </w:rPr>
          <w:t>www.herc.ac.uk</w:t>
        </w:r>
      </w:hyperlink>
    </w:p>
    <w:p w14:paraId="6D0947F5" w14:textId="77777777" w:rsidR="005D313E" w:rsidRDefault="005D313E" w:rsidP="004E3C2C">
      <w:pPr>
        <w:jc w:val="both"/>
      </w:pPr>
    </w:p>
    <w:p w14:paraId="32678C51" w14:textId="77777777" w:rsidR="006F7432" w:rsidRDefault="006F7432" w:rsidP="004E3C2C">
      <w:pPr>
        <w:jc w:val="both"/>
      </w:pPr>
    </w:p>
    <w:p w14:paraId="497EDDC3" w14:textId="77777777" w:rsidR="006F7432" w:rsidRDefault="006F7432" w:rsidP="004E3C2C">
      <w:pPr>
        <w:jc w:val="both"/>
      </w:pPr>
    </w:p>
    <w:p w14:paraId="230E4F9E" w14:textId="77777777" w:rsidR="006F7432" w:rsidRDefault="006F7432" w:rsidP="004E3C2C">
      <w:pPr>
        <w:jc w:val="both"/>
      </w:pPr>
    </w:p>
    <w:p w14:paraId="771128B4" w14:textId="77777777" w:rsidR="006F7432" w:rsidRDefault="006F7432" w:rsidP="004E3C2C">
      <w:pPr>
        <w:jc w:val="both"/>
      </w:pPr>
    </w:p>
    <w:p w14:paraId="6280855A" w14:textId="5D0BAA83" w:rsidR="000355B0" w:rsidRDefault="00913ACC" w:rsidP="004E3C2C">
      <w:pPr>
        <w:pStyle w:val="Heading1"/>
        <w:rPr>
          <w:sz w:val="48"/>
          <w:szCs w:val="48"/>
        </w:rPr>
      </w:pPr>
      <w:r>
        <w:rPr>
          <w:sz w:val="48"/>
          <w:szCs w:val="48"/>
        </w:rPr>
        <w:t>HeRC Trustworthy Research Environment (TRE)</w:t>
      </w:r>
      <w:r w:rsidR="003A7D38">
        <w:rPr>
          <w:sz w:val="48"/>
          <w:szCs w:val="48"/>
        </w:rPr>
        <w:t xml:space="preserve"> – </w:t>
      </w:r>
      <w:r w:rsidR="00F754AA">
        <w:rPr>
          <w:sz w:val="48"/>
          <w:szCs w:val="48"/>
        </w:rPr>
        <w:t>Informati</w:t>
      </w:r>
      <w:bookmarkStart w:id="0" w:name="_GoBack"/>
      <w:bookmarkEnd w:id="0"/>
      <w:r w:rsidR="00F754AA">
        <w:rPr>
          <w:sz w:val="48"/>
          <w:szCs w:val="48"/>
        </w:rPr>
        <w:t xml:space="preserve">on for </w:t>
      </w:r>
      <w:r w:rsidR="007E2D93">
        <w:rPr>
          <w:sz w:val="48"/>
          <w:szCs w:val="48"/>
        </w:rPr>
        <w:t>data</w:t>
      </w:r>
      <w:r w:rsidR="001A2FFD">
        <w:rPr>
          <w:sz w:val="48"/>
          <w:szCs w:val="48"/>
        </w:rPr>
        <w:t xml:space="preserve"> owners</w:t>
      </w:r>
    </w:p>
    <w:p w14:paraId="136FE11D" w14:textId="77777777" w:rsidR="0094323F" w:rsidRDefault="0094323F" w:rsidP="004E3C2C">
      <w:pPr>
        <w:jc w:val="both"/>
      </w:pPr>
    </w:p>
    <w:p w14:paraId="35A1AB3E" w14:textId="77777777" w:rsidR="0094323F" w:rsidRPr="000A0FA1" w:rsidRDefault="0094323F" w:rsidP="004E3C2C">
      <w:pPr>
        <w:pStyle w:val="Heading1"/>
        <w:jc w:val="both"/>
      </w:pPr>
      <w:bookmarkStart w:id="1" w:name="_Toc349675239"/>
      <w:bookmarkStart w:id="2" w:name="_Toc355949575"/>
      <w:r w:rsidRPr="000A0FA1">
        <w:t>Document History</w:t>
      </w:r>
      <w:bookmarkEnd w:id="1"/>
      <w:bookmarkEnd w:id="2"/>
    </w:p>
    <w:p w14:paraId="1633356E" w14:textId="77777777" w:rsidR="0094323F" w:rsidRPr="000A0FA1" w:rsidRDefault="0094323F" w:rsidP="004E3C2C">
      <w:pPr>
        <w:jc w:val="both"/>
      </w:pPr>
    </w:p>
    <w:tbl>
      <w:tblPr>
        <w:tblW w:w="8505" w:type="dxa"/>
        <w:tblInd w:w="108" w:type="dxa"/>
        <w:tblBorders>
          <w:top w:val="single" w:sz="4" w:space="0" w:color="auto"/>
          <w:bottom w:val="single" w:sz="4" w:space="0" w:color="auto"/>
        </w:tblBorders>
        <w:tblLook w:val="00A0" w:firstRow="1" w:lastRow="0" w:firstColumn="1" w:lastColumn="0" w:noHBand="0" w:noVBand="0"/>
      </w:tblPr>
      <w:tblGrid>
        <w:gridCol w:w="2236"/>
        <w:gridCol w:w="1535"/>
        <w:gridCol w:w="3488"/>
        <w:gridCol w:w="1246"/>
      </w:tblGrid>
      <w:tr w:rsidR="0094323F" w:rsidRPr="000A0FA1" w14:paraId="5C330181" w14:textId="77777777" w:rsidTr="00913ACC">
        <w:trPr>
          <w:trHeight w:val="770"/>
        </w:trPr>
        <w:tc>
          <w:tcPr>
            <w:tcW w:w="2236" w:type="dxa"/>
            <w:hideMark/>
          </w:tcPr>
          <w:p w14:paraId="45957083" w14:textId="77777777" w:rsidR="0094323F" w:rsidRPr="000A0FA1" w:rsidRDefault="0094323F" w:rsidP="004E3C2C">
            <w:pPr>
              <w:jc w:val="both"/>
              <w:rPr>
                <w:b/>
                <w:szCs w:val="24"/>
              </w:rPr>
            </w:pPr>
            <w:r w:rsidRPr="000A0FA1">
              <w:rPr>
                <w:b/>
              </w:rPr>
              <w:t>Editor(s)</w:t>
            </w:r>
          </w:p>
        </w:tc>
        <w:tc>
          <w:tcPr>
            <w:tcW w:w="1535" w:type="dxa"/>
            <w:hideMark/>
          </w:tcPr>
          <w:p w14:paraId="110A2A3C" w14:textId="77777777" w:rsidR="0094323F" w:rsidRPr="000A0FA1" w:rsidRDefault="0094323F" w:rsidP="004E3C2C">
            <w:pPr>
              <w:jc w:val="both"/>
              <w:rPr>
                <w:b/>
                <w:szCs w:val="24"/>
              </w:rPr>
            </w:pPr>
            <w:r w:rsidRPr="000A0FA1">
              <w:rPr>
                <w:b/>
              </w:rPr>
              <w:t>Date</w:t>
            </w:r>
          </w:p>
        </w:tc>
        <w:tc>
          <w:tcPr>
            <w:tcW w:w="3488" w:type="dxa"/>
            <w:hideMark/>
          </w:tcPr>
          <w:p w14:paraId="4E02EEB4" w14:textId="77777777" w:rsidR="0094323F" w:rsidRPr="000A0FA1" w:rsidRDefault="0094323F" w:rsidP="004E3C2C">
            <w:pPr>
              <w:jc w:val="both"/>
              <w:rPr>
                <w:b/>
                <w:szCs w:val="24"/>
              </w:rPr>
            </w:pPr>
            <w:r w:rsidRPr="000A0FA1">
              <w:rPr>
                <w:b/>
              </w:rPr>
              <w:t>Summary</w:t>
            </w:r>
          </w:p>
        </w:tc>
        <w:tc>
          <w:tcPr>
            <w:tcW w:w="1246" w:type="dxa"/>
            <w:hideMark/>
          </w:tcPr>
          <w:p w14:paraId="618C3DFD" w14:textId="77777777" w:rsidR="0094323F" w:rsidRPr="000A0FA1" w:rsidRDefault="0094323F" w:rsidP="004E3C2C">
            <w:pPr>
              <w:jc w:val="both"/>
              <w:rPr>
                <w:b/>
                <w:szCs w:val="24"/>
              </w:rPr>
            </w:pPr>
            <w:r w:rsidRPr="000A0FA1">
              <w:rPr>
                <w:b/>
              </w:rPr>
              <w:t>Version</w:t>
            </w:r>
          </w:p>
        </w:tc>
      </w:tr>
      <w:tr w:rsidR="0094323F" w:rsidRPr="000A0FA1" w14:paraId="1F8487D7" w14:textId="77777777" w:rsidTr="00981BF3">
        <w:tc>
          <w:tcPr>
            <w:tcW w:w="2236" w:type="dxa"/>
            <w:hideMark/>
          </w:tcPr>
          <w:p w14:paraId="2BCD8F9A" w14:textId="0C3CEBB3" w:rsidR="0094323F" w:rsidRPr="000A0FA1" w:rsidRDefault="00F754AA" w:rsidP="004E3C2C">
            <w:pPr>
              <w:jc w:val="both"/>
              <w:rPr>
                <w:szCs w:val="24"/>
              </w:rPr>
            </w:pPr>
            <w:r>
              <w:t>Niels Peek</w:t>
            </w:r>
          </w:p>
        </w:tc>
        <w:tc>
          <w:tcPr>
            <w:tcW w:w="1535" w:type="dxa"/>
            <w:hideMark/>
          </w:tcPr>
          <w:p w14:paraId="080AC357" w14:textId="1B757E2B" w:rsidR="0094323F" w:rsidRPr="000A0FA1" w:rsidRDefault="00367E20" w:rsidP="004E3C2C">
            <w:pPr>
              <w:jc w:val="both"/>
              <w:rPr>
                <w:szCs w:val="24"/>
              </w:rPr>
            </w:pPr>
            <w:r>
              <w:t>19</w:t>
            </w:r>
            <w:r w:rsidR="00F754AA">
              <w:t>.11</w:t>
            </w:r>
            <w:r w:rsidR="003A7D38">
              <w:t>.2015</w:t>
            </w:r>
          </w:p>
        </w:tc>
        <w:tc>
          <w:tcPr>
            <w:tcW w:w="3488" w:type="dxa"/>
            <w:hideMark/>
          </w:tcPr>
          <w:p w14:paraId="1FF4A385" w14:textId="78500701" w:rsidR="0094323F" w:rsidRPr="000A0FA1" w:rsidRDefault="003A7D38" w:rsidP="004E3C2C">
            <w:pPr>
              <w:jc w:val="both"/>
              <w:rPr>
                <w:szCs w:val="24"/>
              </w:rPr>
            </w:pPr>
            <w:r>
              <w:rPr>
                <w:szCs w:val="24"/>
              </w:rPr>
              <w:t>Approved</w:t>
            </w:r>
          </w:p>
        </w:tc>
        <w:tc>
          <w:tcPr>
            <w:tcW w:w="1246" w:type="dxa"/>
            <w:hideMark/>
          </w:tcPr>
          <w:p w14:paraId="0731E0AA" w14:textId="1C84A28A" w:rsidR="0094323F" w:rsidRPr="000A0FA1" w:rsidRDefault="003A7D38" w:rsidP="004E3C2C">
            <w:pPr>
              <w:jc w:val="both"/>
            </w:pPr>
            <w:r>
              <w:t>1.</w:t>
            </w:r>
            <w:r w:rsidR="00367E20">
              <w:t>2</w:t>
            </w:r>
          </w:p>
        </w:tc>
      </w:tr>
      <w:tr w:rsidR="00981BF3" w:rsidRPr="000A0FA1" w14:paraId="49179833" w14:textId="77777777" w:rsidTr="00981BF3">
        <w:tc>
          <w:tcPr>
            <w:tcW w:w="2236" w:type="dxa"/>
          </w:tcPr>
          <w:p w14:paraId="46FA306F" w14:textId="7D521E77" w:rsidR="00981BF3" w:rsidRDefault="005E5515" w:rsidP="004E3C2C">
            <w:pPr>
              <w:jc w:val="both"/>
            </w:pPr>
            <w:r>
              <w:t>Emily Griffiths</w:t>
            </w:r>
          </w:p>
        </w:tc>
        <w:tc>
          <w:tcPr>
            <w:tcW w:w="1535" w:type="dxa"/>
          </w:tcPr>
          <w:p w14:paraId="0720E62C" w14:textId="0855FB01" w:rsidR="00981BF3" w:rsidRDefault="005E5515" w:rsidP="004E3C2C">
            <w:pPr>
              <w:jc w:val="both"/>
            </w:pPr>
            <w:r>
              <w:t>06.12.201</w:t>
            </w:r>
            <w:r w:rsidR="003F1C57">
              <w:t>7</w:t>
            </w:r>
          </w:p>
        </w:tc>
        <w:tc>
          <w:tcPr>
            <w:tcW w:w="3488" w:type="dxa"/>
          </w:tcPr>
          <w:p w14:paraId="142AE347" w14:textId="2D7D93F2" w:rsidR="00981BF3" w:rsidRPr="000A0FA1" w:rsidRDefault="005E5515" w:rsidP="004E3C2C">
            <w:pPr>
              <w:jc w:val="both"/>
              <w:rPr>
                <w:szCs w:val="24"/>
              </w:rPr>
            </w:pPr>
            <w:r>
              <w:rPr>
                <w:szCs w:val="24"/>
              </w:rPr>
              <w:t>Redrafted</w:t>
            </w:r>
          </w:p>
        </w:tc>
        <w:tc>
          <w:tcPr>
            <w:tcW w:w="1246" w:type="dxa"/>
          </w:tcPr>
          <w:p w14:paraId="4C5DE499" w14:textId="45A176AB" w:rsidR="00981BF3" w:rsidRPr="000A0FA1" w:rsidRDefault="005E5515" w:rsidP="004E3C2C">
            <w:pPr>
              <w:jc w:val="both"/>
            </w:pPr>
            <w:r>
              <w:t>2.0</w:t>
            </w:r>
          </w:p>
        </w:tc>
      </w:tr>
      <w:tr w:rsidR="004E3C2C" w:rsidRPr="000A0FA1" w14:paraId="3B2FF697" w14:textId="77777777" w:rsidTr="00981BF3">
        <w:tc>
          <w:tcPr>
            <w:tcW w:w="2236" w:type="dxa"/>
          </w:tcPr>
          <w:p w14:paraId="6208EC7F" w14:textId="3A13D254" w:rsidR="004E3C2C" w:rsidRDefault="004E3C2C" w:rsidP="004E3C2C">
            <w:pPr>
              <w:jc w:val="both"/>
            </w:pPr>
            <w:r>
              <w:t>Ben Green</w:t>
            </w:r>
          </w:p>
        </w:tc>
        <w:tc>
          <w:tcPr>
            <w:tcW w:w="1535" w:type="dxa"/>
          </w:tcPr>
          <w:p w14:paraId="0B65ABB1" w14:textId="2578A155" w:rsidR="004E3C2C" w:rsidRDefault="004E3C2C" w:rsidP="004E3C2C">
            <w:pPr>
              <w:jc w:val="both"/>
            </w:pPr>
            <w:r>
              <w:t>15.12.2017</w:t>
            </w:r>
          </w:p>
        </w:tc>
        <w:tc>
          <w:tcPr>
            <w:tcW w:w="3488" w:type="dxa"/>
          </w:tcPr>
          <w:p w14:paraId="567859D3" w14:textId="3F186A52" w:rsidR="004E3C2C" w:rsidRDefault="001759F3" w:rsidP="004E3C2C">
            <w:pPr>
              <w:jc w:val="both"/>
              <w:rPr>
                <w:szCs w:val="24"/>
              </w:rPr>
            </w:pPr>
            <w:r>
              <w:rPr>
                <w:szCs w:val="24"/>
              </w:rPr>
              <w:t>Revision</w:t>
            </w:r>
          </w:p>
        </w:tc>
        <w:tc>
          <w:tcPr>
            <w:tcW w:w="1246" w:type="dxa"/>
          </w:tcPr>
          <w:p w14:paraId="621ADA27" w14:textId="543AE5D7" w:rsidR="004E3C2C" w:rsidRDefault="004E3C2C" w:rsidP="004E3C2C">
            <w:pPr>
              <w:jc w:val="both"/>
            </w:pPr>
            <w:r>
              <w:t>2.1</w:t>
            </w:r>
          </w:p>
        </w:tc>
      </w:tr>
    </w:tbl>
    <w:p w14:paraId="3A5C11C8" w14:textId="77777777" w:rsidR="0094323F" w:rsidRDefault="0094323F" w:rsidP="004E3C2C">
      <w:pPr>
        <w:jc w:val="both"/>
      </w:pPr>
    </w:p>
    <w:p w14:paraId="00B20E0D" w14:textId="49D1B169" w:rsidR="00852805" w:rsidRDefault="00852805" w:rsidP="004E3C2C">
      <w:pPr>
        <w:spacing w:after="0" w:line="240" w:lineRule="auto"/>
        <w:jc w:val="both"/>
        <w:rPr>
          <w:rFonts w:ascii="Calibri" w:eastAsia="Times New Roman" w:hAnsi="Calibri"/>
          <w:color w:val="17365D"/>
          <w:spacing w:val="5"/>
          <w:kern w:val="28"/>
          <w:sz w:val="36"/>
          <w:szCs w:val="52"/>
        </w:rPr>
      </w:pPr>
      <w:r>
        <w:br w:type="page"/>
      </w:r>
    </w:p>
    <w:p w14:paraId="0C8FD4D4" w14:textId="6F2B7A70" w:rsidR="00852805" w:rsidRDefault="00852805" w:rsidP="004E3C2C">
      <w:pPr>
        <w:pStyle w:val="Title"/>
        <w:jc w:val="both"/>
      </w:pPr>
      <w:bookmarkStart w:id="3" w:name="_Ref267582436"/>
      <w:r>
        <w:lastRenderedPageBreak/>
        <w:t>Introduction</w:t>
      </w:r>
      <w:bookmarkEnd w:id="3"/>
    </w:p>
    <w:p w14:paraId="533ACDCD" w14:textId="57121959" w:rsidR="007E2D93" w:rsidRDefault="007E2D93" w:rsidP="004E3C2C">
      <w:pPr>
        <w:jc w:val="both"/>
      </w:pPr>
      <w:r>
        <w:t xml:space="preserve">The HeRC </w:t>
      </w:r>
      <w:r w:rsidRPr="00913ACC">
        <w:t xml:space="preserve">Trustworthy Research Environment </w:t>
      </w:r>
      <w:r>
        <w:t>(TRE) provides a secure, controlled facility</w:t>
      </w:r>
      <w:r w:rsidR="0060243C">
        <w:t xml:space="preserve"> certified to ISO27001</w:t>
      </w:r>
      <w:r>
        <w:t xml:space="preserve"> to </w:t>
      </w:r>
      <w:r w:rsidR="0060243C">
        <w:t>enable researchers to access health data while protecting confidentiality</w:t>
      </w:r>
      <w:r w:rsidR="00944FB6">
        <w:t xml:space="preserve"> of staff and patients</w:t>
      </w:r>
      <w:r w:rsidR="00C50D16">
        <w:t xml:space="preserve">. </w:t>
      </w:r>
      <w:r>
        <w:t>The HeRC TRE does this by providing a range of services for individual researchers, research projects and programmes of research to manage and analyse data within the TRE. The TRE seeks to minimise the risks of data leakage by</w:t>
      </w:r>
      <w:r w:rsidR="00AB6110">
        <w:t xml:space="preserve"> adopting the latest security mechanisms,</w:t>
      </w:r>
      <w:r>
        <w:t xml:space="preserve"> restricting the </w:t>
      </w:r>
      <w:r w:rsidR="00C50D16">
        <w:t>importing and</w:t>
      </w:r>
      <w:r>
        <w:t xml:space="preserve"> exporting of data from the TRE</w:t>
      </w:r>
      <w:r w:rsidR="00AB6110">
        <w:t>, and the extent of data</w:t>
      </w:r>
      <w:r w:rsidR="00AF38BF">
        <w:t xml:space="preserve"> proce</w:t>
      </w:r>
      <w:r w:rsidR="00AB6110">
        <w:t>ssing.</w:t>
      </w:r>
      <w:r>
        <w:t xml:space="preserve"> </w:t>
      </w:r>
    </w:p>
    <w:p w14:paraId="1BA7DEF6" w14:textId="4F65B38B" w:rsidR="001254D5" w:rsidRDefault="008048E3" w:rsidP="004E3C2C">
      <w:pPr>
        <w:jc w:val="both"/>
      </w:pPr>
      <w:r>
        <w:t xml:space="preserve">Data owners who decide to share their data through the HeRC TRE get a transparent, controlled process for managing data access requests, supported by a meta-data catalogue </w:t>
      </w:r>
      <w:r w:rsidR="00127D17">
        <w:t>and services for data provision and archiving.</w:t>
      </w:r>
      <w:r>
        <w:t xml:space="preserve"> </w:t>
      </w:r>
      <w:r w:rsidR="00127D17">
        <w:t>A</w:t>
      </w:r>
      <w:r>
        <w:t xml:space="preserve">dded advantages </w:t>
      </w:r>
      <w:r w:rsidR="00127D17">
        <w:t>are</w:t>
      </w:r>
      <w:r>
        <w:t xml:space="preserve"> oversight of the users and uses of their data, retaining control over access, and ensuring a collective knowledge of their dataset and resultant efficiency</w:t>
      </w:r>
      <w:r w:rsidR="00714FDC">
        <w:t xml:space="preserve"> through the analysis platform.</w:t>
      </w:r>
    </w:p>
    <w:p w14:paraId="32F7040C" w14:textId="4F7F8AA2" w:rsidR="007E2D93" w:rsidRDefault="00005C8F" w:rsidP="004E3C2C">
      <w:pPr>
        <w:pStyle w:val="Title"/>
        <w:jc w:val="both"/>
      </w:pPr>
      <w:r w:rsidRPr="00884B00">
        <w:t>Overview</w:t>
      </w:r>
    </w:p>
    <w:p w14:paraId="666CF17D" w14:textId="77777777" w:rsidR="007374A0" w:rsidRDefault="007E2D93" w:rsidP="004E3C2C">
      <w:pPr>
        <w:jc w:val="both"/>
      </w:pPr>
      <w:r>
        <w:t>The HeRC TRE provides a data analytics facility for personal healthcare data that may be any combination of sensitive, personal and identifiable. Researchers are granted access through standardised and transparent procedures whilst minimising the proliferation of datasets and the frequency of data transfer. In addition, the TRE aims to retain user productivity and confidence by providing a familiar desktop environment for data analysis.</w:t>
      </w:r>
      <w:r w:rsidR="007374A0">
        <w:t xml:space="preserve"> </w:t>
      </w:r>
    </w:p>
    <w:p w14:paraId="3E8A349D" w14:textId="234AEC9D" w:rsidR="007374A0" w:rsidRDefault="007374A0" w:rsidP="004E3C2C">
      <w:pPr>
        <w:jc w:val="both"/>
      </w:pPr>
      <w:r>
        <w:t xml:space="preserve">Figure 1 gives an overview of the HeRC TRE architecture. The </w:t>
      </w:r>
      <w:r w:rsidR="00B54560">
        <w:t xml:space="preserve">TRE </w:t>
      </w:r>
      <w:r>
        <w:t xml:space="preserve">enables participation </w:t>
      </w:r>
      <w:r w:rsidR="00AB6110">
        <w:t xml:space="preserve">with </w:t>
      </w:r>
      <w:r>
        <w:t>NHS organisations by providing data transfers from</w:t>
      </w:r>
      <w:r w:rsidR="00AB6110">
        <w:t xml:space="preserve"> the</w:t>
      </w:r>
      <w:r>
        <w:t xml:space="preserve"> NHS N3 </w:t>
      </w:r>
      <w:r w:rsidR="00AB6110">
        <w:t>network</w:t>
      </w:r>
      <w:r w:rsidR="00673F20">
        <w:t>. The HeRC TRE is also certified to IG Toolkit Level 2</w:t>
      </w:r>
      <w:r>
        <w:t>. Authorised users have remote access to the TRE. Data within the TRE is controlled by:</w:t>
      </w:r>
    </w:p>
    <w:p w14:paraId="57114399" w14:textId="0E493A40" w:rsidR="007374A0" w:rsidRDefault="007374A0" w:rsidP="004E3C2C">
      <w:pPr>
        <w:pStyle w:val="ListParagraph"/>
        <w:numPr>
          <w:ilvl w:val="0"/>
          <w:numId w:val="8"/>
        </w:numPr>
        <w:jc w:val="both"/>
      </w:pPr>
      <w:r>
        <w:t>P</w:t>
      </w:r>
      <w:r w:rsidR="00C94AB0">
        <w:t xml:space="preserve">rohibiting users from </w:t>
      </w:r>
      <w:r w:rsidR="00714FDC">
        <w:t xml:space="preserve">importing data or </w:t>
      </w:r>
      <w:r w:rsidR="00C94AB0">
        <w:t>t</w:t>
      </w:r>
      <w:r>
        <w:t>aking copies of data</w:t>
      </w:r>
      <w:r w:rsidR="002C7877">
        <w:t xml:space="preserve"> out</w:t>
      </w:r>
      <w:r>
        <w:t>;</w:t>
      </w:r>
    </w:p>
    <w:p w14:paraId="4C5B393F" w14:textId="7FA4240E" w:rsidR="007374A0" w:rsidRDefault="007374A0" w:rsidP="004E3C2C">
      <w:pPr>
        <w:pStyle w:val="ListParagraph"/>
        <w:numPr>
          <w:ilvl w:val="0"/>
          <w:numId w:val="8"/>
        </w:numPr>
        <w:jc w:val="both"/>
      </w:pPr>
      <w:r>
        <w:t>Giving users access to onl</w:t>
      </w:r>
      <w:r w:rsidR="00AB6110">
        <w:t>y the data they are permitted to access</w:t>
      </w:r>
      <w:r>
        <w:t>;</w:t>
      </w:r>
    </w:p>
    <w:p w14:paraId="62AFF89B" w14:textId="77777777" w:rsidR="007374A0" w:rsidRDefault="007374A0" w:rsidP="004E3C2C">
      <w:pPr>
        <w:pStyle w:val="ListParagraph"/>
        <w:numPr>
          <w:ilvl w:val="0"/>
          <w:numId w:val="8"/>
        </w:numPr>
        <w:jc w:val="both"/>
      </w:pPr>
      <w:r>
        <w:t>Knowing the location of every copy of every dataset in the TRE;</w:t>
      </w:r>
    </w:p>
    <w:p w14:paraId="13E14088" w14:textId="77777777" w:rsidR="007374A0" w:rsidRDefault="007374A0" w:rsidP="004E3C2C">
      <w:pPr>
        <w:pStyle w:val="ListParagraph"/>
        <w:numPr>
          <w:ilvl w:val="0"/>
          <w:numId w:val="8"/>
        </w:numPr>
        <w:jc w:val="both"/>
      </w:pPr>
      <w:r>
        <w:t>Knowing who has been granted access to each copy of each dataset in the TRE;</w:t>
      </w:r>
    </w:p>
    <w:p w14:paraId="43755C4D" w14:textId="77777777" w:rsidR="007374A0" w:rsidRDefault="007374A0" w:rsidP="004E3C2C">
      <w:pPr>
        <w:pStyle w:val="ListParagraph"/>
        <w:numPr>
          <w:ilvl w:val="0"/>
          <w:numId w:val="8"/>
        </w:numPr>
        <w:jc w:val="both"/>
      </w:pPr>
      <w:r>
        <w:t>Knowing the purpose for which each access right has been granted;</w:t>
      </w:r>
    </w:p>
    <w:p w14:paraId="24625BCF" w14:textId="7EFE0185" w:rsidR="007374A0" w:rsidRDefault="007374A0" w:rsidP="004E3C2C">
      <w:pPr>
        <w:pStyle w:val="ListParagraph"/>
        <w:numPr>
          <w:ilvl w:val="0"/>
          <w:numId w:val="8"/>
        </w:numPr>
        <w:jc w:val="both"/>
      </w:pPr>
      <w:r>
        <w:t>Having the means to instantly remove any access right from any user.</w:t>
      </w:r>
    </w:p>
    <w:p w14:paraId="47850CF1" w14:textId="1EF1D318" w:rsidR="001D4F69" w:rsidRPr="002904DE" w:rsidRDefault="001D4F69" w:rsidP="004E3C2C">
      <w:pPr>
        <w:jc w:val="both"/>
      </w:pPr>
      <w:r>
        <w:t xml:space="preserve">It is the responsibility of data owners to provide </w:t>
      </w:r>
      <w:r w:rsidR="00D42756">
        <w:t xml:space="preserve">sufficient information about their datasets to support data curation and the TRE meta-data catalogue; to </w:t>
      </w:r>
      <w:r>
        <w:t xml:space="preserve">define the access rules for datasets that they have provided, and </w:t>
      </w:r>
      <w:r w:rsidR="00D42756">
        <w:t xml:space="preserve">to </w:t>
      </w:r>
      <w:r>
        <w:t>give final approval to access requests and requests to export datasets from the TRE.</w:t>
      </w:r>
    </w:p>
    <w:p w14:paraId="7A3F21C4" w14:textId="77777777" w:rsidR="001D4F69" w:rsidRDefault="001D4F69" w:rsidP="004E3C2C">
      <w:pPr>
        <w:jc w:val="both"/>
      </w:pPr>
    </w:p>
    <w:p w14:paraId="07AE685E" w14:textId="202C4C66" w:rsidR="007374A0" w:rsidRDefault="00D42756" w:rsidP="004E3C2C">
      <w:pPr>
        <w:jc w:val="both"/>
        <w:rPr>
          <w:rFonts w:ascii="Arial" w:hAnsi="Arial" w:cs="Arial"/>
        </w:rPr>
      </w:pPr>
      <w:r>
        <w:rPr>
          <w:rFonts w:ascii="Arial" w:hAnsi="Arial" w:cs="Arial"/>
          <w:noProof/>
          <w:lang w:eastAsia="en-GB"/>
        </w:rPr>
        <w:lastRenderedPageBreak/>
        <w:drawing>
          <wp:inline distT="0" distB="0" distL="0" distR="0" wp14:anchorId="630BF252" wp14:editId="318A42AA">
            <wp:extent cx="5715000" cy="441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4410075"/>
                    </a:xfrm>
                    <a:prstGeom prst="rect">
                      <a:avLst/>
                    </a:prstGeom>
                    <a:noFill/>
                    <a:ln>
                      <a:noFill/>
                    </a:ln>
                  </pic:spPr>
                </pic:pic>
              </a:graphicData>
            </a:graphic>
          </wp:inline>
        </w:drawing>
      </w:r>
    </w:p>
    <w:p w14:paraId="753FBDAF" w14:textId="6897BEF1" w:rsidR="007374A0" w:rsidRDefault="007374A0" w:rsidP="004E3C2C">
      <w:pPr>
        <w:jc w:val="both"/>
      </w:pPr>
      <w:proofErr w:type="gramStart"/>
      <w:r>
        <w:rPr>
          <w:rFonts w:ascii="Arial" w:hAnsi="Arial" w:cs="Arial"/>
        </w:rPr>
        <w:t>Fig. 1.</w:t>
      </w:r>
      <w:proofErr w:type="gramEnd"/>
      <w:r>
        <w:rPr>
          <w:rFonts w:ascii="Arial" w:hAnsi="Arial" w:cs="Arial"/>
        </w:rPr>
        <w:t xml:space="preserve">  HeRC TRE architecture</w:t>
      </w:r>
    </w:p>
    <w:p w14:paraId="7390EC06" w14:textId="352B8589" w:rsidR="008D133D" w:rsidRDefault="007374A0" w:rsidP="004E3C2C">
      <w:pPr>
        <w:jc w:val="both"/>
      </w:pPr>
      <w:r>
        <w:t xml:space="preserve">The TRE is physically located at the University of Manchester Oxford Road Campus, in </w:t>
      </w:r>
      <w:r w:rsidRPr="006D02D8">
        <w:rPr>
          <w:rFonts w:cs="Tahoma"/>
          <w:szCs w:val="24"/>
        </w:rPr>
        <w:t>Vaughan House</w:t>
      </w:r>
      <w:r>
        <w:rPr>
          <w:rFonts w:cs="Tahoma"/>
          <w:szCs w:val="24"/>
        </w:rPr>
        <w:t>, Portsmouth Street, Manchester,</w:t>
      </w:r>
      <w:r w:rsidRPr="006D02D8">
        <w:rPr>
          <w:rFonts w:cs="Tahoma"/>
          <w:szCs w:val="24"/>
        </w:rPr>
        <w:t xml:space="preserve"> M13 9GB</w:t>
      </w:r>
      <w:r>
        <w:rPr>
          <w:rFonts w:cs="Tahoma"/>
          <w:szCs w:val="24"/>
        </w:rPr>
        <w:t>.</w:t>
      </w:r>
    </w:p>
    <w:p w14:paraId="524033B2" w14:textId="279E03C5" w:rsidR="00E04EF7" w:rsidRDefault="00E04EF7" w:rsidP="004E3C2C">
      <w:pPr>
        <w:pStyle w:val="Title"/>
        <w:jc w:val="both"/>
      </w:pPr>
      <w:r>
        <w:t>Data Import and Lifecycle</w:t>
      </w:r>
    </w:p>
    <w:p w14:paraId="7403659E" w14:textId="59C53BD3" w:rsidR="00E04EF7" w:rsidRDefault="00E04EF7" w:rsidP="00BF0690">
      <w:pPr>
        <w:jc w:val="both"/>
      </w:pPr>
      <w:r>
        <w:t xml:space="preserve">The HeRC TRE </w:t>
      </w:r>
      <w:r w:rsidR="00BF0690">
        <w:t xml:space="preserve">service </w:t>
      </w:r>
      <w:r>
        <w:t>team</w:t>
      </w:r>
      <w:r w:rsidR="00BF0690">
        <w:t xml:space="preserve"> is committed</w:t>
      </w:r>
      <w:r>
        <w:t xml:space="preserve"> to providing a solution for data owners who need assurance that their data will be safely transferred and cared for throughout it</w:t>
      </w:r>
      <w:r w:rsidR="00BD191C">
        <w:t>s</w:t>
      </w:r>
      <w:r>
        <w:t xml:space="preserve"> lifecycle within the TRE.</w:t>
      </w:r>
    </w:p>
    <w:p w14:paraId="4681D888" w14:textId="13DC9BA5" w:rsidR="00E04EF7" w:rsidRDefault="00E04EF7" w:rsidP="00BF0690">
      <w:pPr>
        <w:jc w:val="both"/>
      </w:pPr>
      <w:r>
        <w:t xml:space="preserve">The HeRC TRE operates a robust data import process where data is transferred directly into the TRE using the optimum security mechanisms and curatorial processes. The integrity of </w:t>
      </w:r>
      <w:r w:rsidR="00BF0690">
        <w:t xml:space="preserve">the source </w:t>
      </w:r>
      <w:r>
        <w:t>data is monitored continually</w:t>
      </w:r>
      <w:r w:rsidR="00BF0690">
        <w:t xml:space="preserve"> </w:t>
      </w:r>
      <w:r>
        <w:t xml:space="preserve">during transfer and throughout its lifecycle within the </w:t>
      </w:r>
      <w:r w:rsidR="00BF0690">
        <w:t>TRE.</w:t>
      </w:r>
      <w:r w:rsidR="00BD191C">
        <w:t xml:space="preserve"> This means at any time during the project, the researcher</w:t>
      </w:r>
      <w:r w:rsidR="00F8438B">
        <w:t xml:space="preserve"> will always have access to the exact same dataset originally provided by the data owner.</w:t>
      </w:r>
    </w:p>
    <w:p w14:paraId="114BCE67" w14:textId="77777777" w:rsidR="00F8438B" w:rsidRDefault="00BD191C" w:rsidP="00BF0690">
      <w:pPr>
        <w:jc w:val="both"/>
      </w:pPr>
      <w:r>
        <w:t>At the end of a project, or at any time during the lifecycle of a dataset hosted within the TRE, the data owner is entitled to request that their data is removed from the TRE and formally destroyed. The TRE service is able to provide evidence of data destruction if required.</w:t>
      </w:r>
    </w:p>
    <w:p w14:paraId="16215A2B" w14:textId="4A64D542" w:rsidR="00BF0690" w:rsidRPr="00E04EF7" w:rsidRDefault="00F8438B" w:rsidP="00BF0690">
      <w:pPr>
        <w:jc w:val="both"/>
      </w:pPr>
      <w:r>
        <w:lastRenderedPageBreak/>
        <w:t>If the data owner wishes their data to the retained within the TRE so that it can be made available to other projects in the future, the TRE service is able to provide long-term storage and data archive resources, and can make the data discoverable via the TRE data catalogue.</w:t>
      </w:r>
      <w:r w:rsidR="00BD191C">
        <w:t xml:space="preserve"> </w:t>
      </w:r>
      <w:r>
        <w:t>The TRE service can also help make the datasets it hosts citable in publications and other bibliographic references.</w:t>
      </w:r>
    </w:p>
    <w:p w14:paraId="6FE614C4" w14:textId="77164484" w:rsidR="00BB7532" w:rsidRDefault="001A2FFD" w:rsidP="004E3C2C">
      <w:pPr>
        <w:pStyle w:val="Title"/>
        <w:jc w:val="both"/>
      </w:pPr>
      <w:r>
        <w:t>Acces</w:t>
      </w:r>
      <w:r w:rsidR="006452C4">
        <w:t>s</w:t>
      </w:r>
      <w:r>
        <w:t xml:space="preserve"> procedure</w:t>
      </w:r>
    </w:p>
    <w:p w14:paraId="0B8834D2" w14:textId="41C5C37B" w:rsidR="000B653C" w:rsidRDefault="000B653C" w:rsidP="004E3C2C">
      <w:pPr>
        <w:jc w:val="both"/>
      </w:pPr>
      <w:r>
        <w:t xml:space="preserve">Access to data that is </w:t>
      </w:r>
      <w:r w:rsidR="004A4266">
        <w:t xml:space="preserve">stored in the HeRC TRE </w:t>
      </w:r>
      <w:r w:rsidR="00974160">
        <w:t>can proceed in two ways depending on whether the data are a new extract for a dedicated research project, or re-use of a previous project’s data</w:t>
      </w:r>
      <w:r w:rsidR="009E02FD">
        <w:t>:</w:t>
      </w:r>
    </w:p>
    <w:p w14:paraId="5E711CAA" w14:textId="3465824C" w:rsidR="00CD7CD8" w:rsidRDefault="00CD7CD8" w:rsidP="004E3C2C">
      <w:pPr>
        <w:pStyle w:val="Subtitle"/>
        <w:jc w:val="both"/>
      </w:pPr>
      <w:r>
        <w:t>New extracts</w:t>
      </w:r>
    </w:p>
    <w:p w14:paraId="4BAC3B39" w14:textId="47671011" w:rsidR="00C65F98" w:rsidRPr="00C65F98" w:rsidRDefault="00C65F98" w:rsidP="004E3C2C">
      <w:pPr>
        <w:pStyle w:val="ListParagraph"/>
        <w:spacing w:before="120"/>
        <w:ind w:left="714"/>
        <w:contextualSpacing w:val="0"/>
        <w:jc w:val="both"/>
      </w:pPr>
      <w:r>
        <w:t>The researcher arranges research ethics and other project documentation to apply for the data from the relevant provider</w:t>
      </w:r>
      <w:r w:rsidR="00FB7C9A">
        <w:t>. If approved the researcher then completes a TRE Project Application</w:t>
      </w:r>
      <w:r w:rsidR="007E7F4E">
        <w:t xml:space="preserve"> Form</w:t>
      </w:r>
      <w:r w:rsidR="00FB7C9A">
        <w:t>.</w:t>
      </w:r>
    </w:p>
    <w:p w14:paraId="2E2A1F07" w14:textId="78AEA15B" w:rsidR="00CD7CD8" w:rsidRDefault="00CD7CD8" w:rsidP="004E3C2C">
      <w:pPr>
        <w:pStyle w:val="Subtitle"/>
        <w:jc w:val="both"/>
      </w:pPr>
      <w:r>
        <w:t>Data re-use</w:t>
      </w:r>
    </w:p>
    <w:p w14:paraId="3BE53FD8" w14:textId="0BC243B7" w:rsidR="002E0BB7" w:rsidRDefault="002E0BB7" w:rsidP="004E3C2C">
      <w:pPr>
        <w:pStyle w:val="ListParagraph"/>
        <w:spacing w:before="120"/>
        <w:contextualSpacing w:val="0"/>
        <w:jc w:val="both"/>
      </w:pPr>
      <w:r>
        <w:t xml:space="preserve">The researcher browses the online </w:t>
      </w:r>
      <w:r w:rsidR="004A4266">
        <w:t xml:space="preserve">meta-data </w:t>
      </w:r>
      <w:r>
        <w:t>catalogue of the TRE</w:t>
      </w:r>
      <w:r w:rsidR="004A4266">
        <w:t xml:space="preserve"> on the publicly accessible HeRC website</w:t>
      </w:r>
      <w:r>
        <w:t xml:space="preserve"> to see which datasets are available</w:t>
      </w:r>
      <w:r w:rsidR="00F07969">
        <w:t xml:space="preserve"> and which</w:t>
      </w:r>
      <w:r>
        <w:t xml:space="preserve"> </w:t>
      </w:r>
      <w:r w:rsidR="00404822">
        <w:t xml:space="preserve">items </w:t>
      </w:r>
      <w:r w:rsidR="00F07969">
        <w:t>they hold</w:t>
      </w:r>
      <w:r w:rsidR="00404822">
        <w:t xml:space="preserve">, </w:t>
      </w:r>
      <w:r>
        <w:t>and selects the dataset(s) of interest</w:t>
      </w:r>
      <w:r w:rsidR="00123265">
        <w:t xml:space="preserve"> and any relevant code for reproduction of </w:t>
      </w:r>
      <w:r w:rsidR="007A09EA">
        <w:t>analyses</w:t>
      </w:r>
      <w:r>
        <w:t>.</w:t>
      </w:r>
      <w:r w:rsidR="007E7F4E">
        <w:t xml:space="preserve"> The researcher completes a TRE Project Application Form.</w:t>
      </w:r>
    </w:p>
    <w:p w14:paraId="6535FC56" w14:textId="67DD02FF" w:rsidR="007A74AC" w:rsidRDefault="00D648C6" w:rsidP="004E3C2C">
      <w:pPr>
        <w:pStyle w:val="Subtitle"/>
        <w:jc w:val="both"/>
      </w:pPr>
      <w:r>
        <w:t xml:space="preserve">After each </w:t>
      </w:r>
      <w:r w:rsidR="007A74AC">
        <w:t>application</w:t>
      </w:r>
    </w:p>
    <w:p w14:paraId="24DE0DBF" w14:textId="75C210A8" w:rsidR="00EE2607" w:rsidRDefault="00D7068D" w:rsidP="004E3C2C">
      <w:pPr>
        <w:pStyle w:val="ListParagraph"/>
        <w:numPr>
          <w:ilvl w:val="0"/>
          <w:numId w:val="22"/>
        </w:numPr>
        <w:spacing w:before="120"/>
        <w:ind w:left="714" w:hanging="357"/>
        <w:contextualSpacing w:val="0"/>
        <w:jc w:val="both"/>
      </w:pPr>
      <w:r>
        <w:t>The</w:t>
      </w:r>
      <w:r w:rsidR="00FE449D">
        <w:t xml:space="preserve"> TRE Project Board</w:t>
      </w:r>
      <w:r>
        <w:t xml:space="preserve"> </w:t>
      </w:r>
      <w:proofErr w:type="gramStart"/>
      <w:r w:rsidR="00AF1EE2">
        <w:t>meet</w:t>
      </w:r>
      <w:proofErr w:type="gramEnd"/>
      <w:r w:rsidR="00AF1EE2">
        <w:t xml:space="preserve"> every two weeks and </w:t>
      </w:r>
      <w:r>
        <w:t xml:space="preserve">review all applications. </w:t>
      </w:r>
      <w:r w:rsidR="00EE2607">
        <w:t>Approval criteria may differ between datasets and will be decided by the data owner for their dataset.</w:t>
      </w:r>
    </w:p>
    <w:p w14:paraId="6F5A35FA" w14:textId="5ADA9D83" w:rsidR="000B653C" w:rsidRDefault="00D7068D" w:rsidP="004E3C2C">
      <w:pPr>
        <w:pStyle w:val="ListParagraph"/>
        <w:numPr>
          <w:ilvl w:val="0"/>
          <w:numId w:val="22"/>
        </w:numPr>
        <w:spacing w:before="120"/>
        <w:ind w:left="714" w:hanging="357"/>
        <w:contextualSpacing w:val="0"/>
        <w:jc w:val="both"/>
      </w:pPr>
      <w:r>
        <w:t>If approved</w:t>
      </w:r>
      <w:r w:rsidR="00FE449D">
        <w:t>, a</w:t>
      </w:r>
      <w:r w:rsidR="00DE2C8F">
        <w:t xml:space="preserve"> service manager of the TRE will verify the identity of the researcher, and ask the researcher to complete </w:t>
      </w:r>
      <w:r w:rsidR="00FE449D">
        <w:t>a</w:t>
      </w:r>
      <w:r w:rsidR="00DE2C8F">
        <w:t xml:space="preserve"> </w:t>
      </w:r>
      <w:r w:rsidR="00F07969">
        <w:t>training course</w:t>
      </w:r>
      <w:r w:rsidR="00DE2C8F">
        <w:t xml:space="preserve"> and sign a confiden</w:t>
      </w:r>
      <w:r w:rsidR="00AB7EFE">
        <w:t>tiality agreement. T</w:t>
      </w:r>
      <w:r w:rsidR="00DE2C8F">
        <w:t xml:space="preserve">he researcher </w:t>
      </w:r>
      <w:r w:rsidR="00AB7EFE">
        <w:t xml:space="preserve">then </w:t>
      </w:r>
      <w:r w:rsidR="00DE2C8F">
        <w:t>obtains authorisation to access the</w:t>
      </w:r>
      <w:r w:rsidR="00C52B8E">
        <w:t xml:space="preserve"> dataset in their dedicated work environment</w:t>
      </w:r>
      <w:r w:rsidR="00DE2C8F">
        <w:t xml:space="preserve"> </w:t>
      </w:r>
      <w:r w:rsidR="00600DAD">
        <w:t xml:space="preserve">in the </w:t>
      </w:r>
      <w:r w:rsidR="00DB3886">
        <w:t>TRE.</w:t>
      </w:r>
    </w:p>
    <w:p w14:paraId="694B0574" w14:textId="077D8FC1" w:rsidR="008D133D" w:rsidRDefault="0074040C" w:rsidP="004E3C2C">
      <w:pPr>
        <w:pStyle w:val="ListParagraph"/>
        <w:numPr>
          <w:ilvl w:val="0"/>
          <w:numId w:val="22"/>
        </w:numPr>
        <w:spacing w:before="120"/>
        <w:ind w:left="714" w:hanging="357"/>
        <w:contextualSpacing w:val="0"/>
        <w:jc w:val="both"/>
      </w:pPr>
      <w:r>
        <w:t>The</w:t>
      </w:r>
      <w:r w:rsidR="009E02FD">
        <w:t xml:space="preserve"> researcher gets access, through the HeRC TRE and for a specified period of time, to a virtual machine that contains the requested dataset as well as software tools </w:t>
      </w:r>
      <w:r w:rsidR="00935523">
        <w:t>needed</w:t>
      </w:r>
      <w:r w:rsidR="009E02FD">
        <w:t xml:space="preserve"> to conduct the analysis. </w:t>
      </w:r>
      <w:r w:rsidR="008D133D">
        <w:t xml:space="preserve">On request </w:t>
      </w:r>
      <w:r w:rsidR="000D16AC">
        <w:t>research outputs can be exported from the TRE</w:t>
      </w:r>
      <w:r w:rsidR="009E02FD">
        <w:t xml:space="preserve"> </w:t>
      </w:r>
      <w:r w:rsidR="000D16AC">
        <w:t>after consulting the data owner</w:t>
      </w:r>
      <w:r w:rsidR="009E02FD">
        <w:t xml:space="preserve"> </w:t>
      </w:r>
      <w:r w:rsidR="000D16AC">
        <w:t xml:space="preserve">and scrutiny of a trained output checker who ensures no </w:t>
      </w:r>
      <w:proofErr w:type="spellStart"/>
      <w:r w:rsidR="000D16AC">
        <w:t>disclosive</w:t>
      </w:r>
      <w:proofErr w:type="spellEnd"/>
      <w:r w:rsidR="000D16AC">
        <w:t xml:space="preserve"> information are included. Outputs are then emailed to the researcher for distribution as needed, for example for publication</w:t>
      </w:r>
      <w:r w:rsidR="00EC7BE0">
        <w:t>, conference presentation</w:t>
      </w:r>
      <w:r w:rsidR="000D16AC">
        <w:t xml:space="preserve"> or</w:t>
      </w:r>
      <w:r w:rsidR="008D133D">
        <w:t xml:space="preserve"> subm</w:t>
      </w:r>
      <w:r w:rsidR="007B02DD">
        <w:t>ission to a regulator or study s</w:t>
      </w:r>
      <w:r w:rsidR="008D133D">
        <w:t>ponsor.</w:t>
      </w:r>
    </w:p>
    <w:p w14:paraId="7214A1AA" w14:textId="6C779C6F" w:rsidR="009E02FD" w:rsidRDefault="009E02FD" w:rsidP="004E3C2C">
      <w:pPr>
        <w:pStyle w:val="ListParagraph"/>
        <w:numPr>
          <w:ilvl w:val="0"/>
          <w:numId w:val="22"/>
        </w:numPr>
        <w:spacing w:before="120"/>
        <w:ind w:left="714" w:hanging="357"/>
        <w:contextualSpacing w:val="0"/>
        <w:jc w:val="both"/>
      </w:pPr>
      <w:r>
        <w:t>After completion of the data analysis and publication of the results, a backup of the virtual machine is created and access is discontinued.</w:t>
      </w:r>
    </w:p>
    <w:sectPr w:rsidR="009E02FD" w:rsidSect="00267F87">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84A271" w15:done="0"/>
  <w15:commentEx w15:paraId="3465D6A3" w15:done="0"/>
  <w15:commentEx w15:paraId="1A750C1A" w15:done="0"/>
  <w15:commentEx w15:paraId="0F22DA67" w15:done="0"/>
  <w15:commentEx w15:paraId="70D69455" w15:done="0"/>
  <w15:commentEx w15:paraId="38E6DED8" w15:done="0"/>
  <w15:commentEx w15:paraId="35954B19" w15:done="0"/>
  <w15:commentEx w15:paraId="291A4113" w15:done="0"/>
  <w15:commentEx w15:paraId="54292AC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FAD003" w14:textId="77777777" w:rsidR="002B3E6D" w:rsidRDefault="002B3E6D">
      <w:pPr>
        <w:spacing w:after="0" w:line="240" w:lineRule="auto"/>
      </w:pPr>
      <w:r>
        <w:separator/>
      </w:r>
    </w:p>
  </w:endnote>
  <w:endnote w:type="continuationSeparator" w:id="0">
    <w:p w14:paraId="46FB9CF4" w14:textId="77777777" w:rsidR="002B3E6D" w:rsidRDefault="002B3E6D">
      <w:pPr>
        <w:spacing w:after="0" w:line="240" w:lineRule="auto"/>
      </w:pPr>
      <w:r>
        <w:continuationSeparator/>
      </w:r>
    </w:p>
  </w:endnote>
  <w:endnote w:type="continuationNotice" w:id="1">
    <w:p w14:paraId="352BEB7A" w14:textId="77777777" w:rsidR="002B3E6D" w:rsidRDefault="002B3E6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CAC2E" w14:textId="77777777" w:rsidR="004A4266" w:rsidRDefault="004A4266" w:rsidP="006F743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6162FCD" w14:textId="77777777" w:rsidR="004A4266" w:rsidRDefault="004A4266" w:rsidP="001C7C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D4345" w14:textId="496F0280" w:rsidR="004A4266" w:rsidRDefault="004A4266" w:rsidP="001C7CBC">
    <w:pPr>
      <w:pStyle w:val="Footer"/>
      <w:ind w:right="360"/>
      <w:jc w:val="right"/>
    </w:pPr>
    <w:r w:rsidRPr="00B92A85">
      <w:t>HeRC Trustworthy Research Environment (TRE)</w:t>
    </w:r>
    <w:r>
      <w:tab/>
      <w:t xml:space="preserve">- </w:t>
    </w:r>
    <w:r>
      <w:fldChar w:fldCharType="begin"/>
    </w:r>
    <w:r>
      <w:instrText xml:space="preserve"> PAGE </w:instrText>
    </w:r>
    <w:r>
      <w:fldChar w:fldCharType="separate"/>
    </w:r>
    <w:r w:rsidR="00144A66">
      <w:rPr>
        <w:noProof/>
      </w:rPr>
      <w:t>1</w:t>
    </w:r>
    <w:r>
      <w:rPr>
        <w:noProof/>
      </w:rPr>
      <w:fldChar w:fldCharType="end"/>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F1000" w14:textId="77777777" w:rsidR="004E3C2C" w:rsidRDefault="004E3C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981C1" w14:textId="77777777" w:rsidR="002B3E6D" w:rsidRDefault="002B3E6D">
      <w:pPr>
        <w:spacing w:after="0" w:line="240" w:lineRule="auto"/>
      </w:pPr>
      <w:r>
        <w:separator/>
      </w:r>
    </w:p>
  </w:footnote>
  <w:footnote w:type="continuationSeparator" w:id="0">
    <w:p w14:paraId="6EC5381D" w14:textId="77777777" w:rsidR="002B3E6D" w:rsidRDefault="002B3E6D">
      <w:pPr>
        <w:spacing w:after="0" w:line="240" w:lineRule="auto"/>
      </w:pPr>
      <w:r>
        <w:continuationSeparator/>
      </w:r>
    </w:p>
  </w:footnote>
  <w:footnote w:type="continuationNotice" w:id="1">
    <w:p w14:paraId="5F32AEC5" w14:textId="77777777" w:rsidR="002B3E6D" w:rsidRDefault="002B3E6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4EEFC" w14:textId="77777777" w:rsidR="004E3C2C" w:rsidRDefault="004E3C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67199" w14:textId="77777777" w:rsidR="00346998" w:rsidRDefault="003469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5FA59" w14:textId="77777777" w:rsidR="004E3C2C" w:rsidRDefault="004E3C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E023CD"/>
    <w:multiLevelType w:val="hybridMultilevel"/>
    <w:tmpl w:val="5D54C0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61D33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3AD4"/>
    <w:multiLevelType w:val="hybridMultilevel"/>
    <w:tmpl w:val="3B0A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8A2B25"/>
    <w:multiLevelType w:val="hybridMultilevel"/>
    <w:tmpl w:val="EC948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913CEA"/>
    <w:multiLevelType w:val="multilevel"/>
    <w:tmpl w:val="399464B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243C4507"/>
    <w:multiLevelType w:val="hybridMultilevel"/>
    <w:tmpl w:val="AE52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94079B"/>
    <w:multiLevelType w:val="hybridMultilevel"/>
    <w:tmpl w:val="04E8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C10D40"/>
    <w:multiLevelType w:val="hybridMultilevel"/>
    <w:tmpl w:val="1A5EDD8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DF766AB"/>
    <w:multiLevelType w:val="hybridMultilevel"/>
    <w:tmpl w:val="CE867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51EFC"/>
    <w:multiLevelType w:val="hybridMultilevel"/>
    <w:tmpl w:val="CC80CE2C"/>
    <w:lvl w:ilvl="0" w:tplc="E4DC5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DF12EB"/>
    <w:multiLevelType w:val="hybridMultilevel"/>
    <w:tmpl w:val="3B0A7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094662"/>
    <w:multiLevelType w:val="hybridMultilevel"/>
    <w:tmpl w:val="ABBE0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hint="default"/>
      </w:rPr>
    </w:lvl>
    <w:lvl w:ilvl="8" w:tplc="04090005" w:tentative="1">
      <w:start w:val="1"/>
      <w:numFmt w:val="bullet"/>
      <w:pStyle w:val="Heading9"/>
      <w:lvlText w:val=""/>
      <w:lvlJc w:val="left"/>
      <w:pPr>
        <w:ind w:left="6480" w:hanging="360"/>
      </w:pPr>
      <w:rPr>
        <w:rFonts w:ascii="Wingdings" w:hAnsi="Wingdings" w:hint="default"/>
      </w:rPr>
    </w:lvl>
  </w:abstractNum>
  <w:abstractNum w:abstractNumId="14">
    <w:nsid w:val="535C2CE3"/>
    <w:multiLevelType w:val="hybridMultilevel"/>
    <w:tmpl w:val="97925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EA056A"/>
    <w:multiLevelType w:val="hybridMultilevel"/>
    <w:tmpl w:val="7C8A56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2B288A"/>
    <w:multiLevelType w:val="hybridMultilevel"/>
    <w:tmpl w:val="E9CA918C"/>
    <w:lvl w:ilvl="0" w:tplc="52A29F68">
      <w:start w:val="16"/>
      <w:numFmt w:val="bullet"/>
      <w:lvlText w:val="-"/>
      <w:lvlJc w:val="left"/>
      <w:pPr>
        <w:ind w:left="720" w:hanging="36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04479D"/>
    <w:multiLevelType w:val="hybridMultilevel"/>
    <w:tmpl w:val="FB849EBE"/>
    <w:lvl w:ilvl="0" w:tplc="521A06B6">
      <w:start w:val="1"/>
      <w:numFmt w:val="decimal"/>
      <w:pStyle w:val="Title"/>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9C159C"/>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nsid w:val="7E525C25"/>
    <w:multiLevelType w:val="hybridMultilevel"/>
    <w:tmpl w:val="86608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F4311F"/>
    <w:multiLevelType w:val="hybridMultilevel"/>
    <w:tmpl w:val="54CA2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5"/>
  </w:num>
  <w:num w:numId="4">
    <w:abstractNumId w:val="11"/>
  </w:num>
  <w:num w:numId="5">
    <w:abstractNumId w:val="0"/>
  </w:num>
  <w:num w:numId="6">
    <w:abstractNumId w:val="8"/>
  </w:num>
  <w:num w:numId="7">
    <w:abstractNumId w:val="13"/>
  </w:num>
  <w:num w:numId="8">
    <w:abstractNumId w:val="2"/>
  </w:num>
  <w:num w:numId="9">
    <w:abstractNumId w:val="7"/>
  </w:num>
  <w:num w:numId="10">
    <w:abstractNumId w:val="9"/>
  </w:num>
  <w:num w:numId="11">
    <w:abstractNumId w:val="20"/>
  </w:num>
  <w:num w:numId="12">
    <w:abstractNumId w:val="6"/>
  </w:num>
  <w:num w:numId="13">
    <w:abstractNumId w:val="18"/>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4"/>
  </w:num>
  <w:num w:numId="17">
    <w:abstractNumId w:val="3"/>
  </w:num>
  <w:num w:numId="18">
    <w:abstractNumId w:val="15"/>
  </w:num>
  <w:num w:numId="19">
    <w:abstractNumId w:val="10"/>
  </w:num>
  <w:num w:numId="20">
    <w:abstractNumId w:val="19"/>
  </w:num>
  <w:num w:numId="21">
    <w:abstractNumId w:val="4"/>
  </w:num>
  <w:num w:numId="22">
    <w:abstractNumId w:val="12"/>
  </w:num>
  <w:numIdMacAtCleanup w:val="1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Crowther">
    <w15:presenceInfo w15:providerId="None" w15:userId="Peter Crowth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432"/>
    <w:rsid w:val="00005C8F"/>
    <w:rsid w:val="0000657B"/>
    <w:rsid w:val="00010ED0"/>
    <w:rsid w:val="00023AC6"/>
    <w:rsid w:val="00026879"/>
    <w:rsid w:val="00026D58"/>
    <w:rsid w:val="000355B0"/>
    <w:rsid w:val="0004147E"/>
    <w:rsid w:val="00077606"/>
    <w:rsid w:val="000805C9"/>
    <w:rsid w:val="00081764"/>
    <w:rsid w:val="000A11AA"/>
    <w:rsid w:val="000A3AF7"/>
    <w:rsid w:val="000A4EA5"/>
    <w:rsid w:val="000B1F5B"/>
    <w:rsid w:val="000B653C"/>
    <w:rsid w:val="000D04AF"/>
    <w:rsid w:val="000D16AC"/>
    <w:rsid w:val="000E5620"/>
    <w:rsid w:val="000E64DA"/>
    <w:rsid w:val="000F74EC"/>
    <w:rsid w:val="001058E5"/>
    <w:rsid w:val="001131DD"/>
    <w:rsid w:val="00123265"/>
    <w:rsid w:val="001254D5"/>
    <w:rsid w:val="00125BBB"/>
    <w:rsid w:val="00127D17"/>
    <w:rsid w:val="00133168"/>
    <w:rsid w:val="0014401D"/>
    <w:rsid w:val="00144A66"/>
    <w:rsid w:val="00151762"/>
    <w:rsid w:val="00152A99"/>
    <w:rsid w:val="00156531"/>
    <w:rsid w:val="00166874"/>
    <w:rsid w:val="00174A19"/>
    <w:rsid w:val="001759F3"/>
    <w:rsid w:val="00176A7B"/>
    <w:rsid w:val="00181550"/>
    <w:rsid w:val="0018689A"/>
    <w:rsid w:val="00187E9C"/>
    <w:rsid w:val="00191502"/>
    <w:rsid w:val="001A0D20"/>
    <w:rsid w:val="001A2FFD"/>
    <w:rsid w:val="001C38BD"/>
    <w:rsid w:val="001C6D55"/>
    <w:rsid w:val="001C7CBC"/>
    <w:rsid w:val="001D4F69"/>
    <w:rsid w:val="001E33C3"/>
    <w:rsid w:val="001E6489"/>
    <w:rsid w:val="00205248"/>
    <w:rsid w:val="00231F0C"/>
    <w:rsid w:val="00235AC3"/>
    <w:rsid w:val="00235B7A"/>
    <w:rsid w:val="002527C7"/>
    <w:rsid w:val="00255FFD"/>
    <w:rsid w:val="0025630E"/>
    <w:rsid w:val="0025753F"/>
    <w:rsid w:val="002603F7"/>
    <w:rsid w:val="002665D1"/>
    <w:rsid w:val="00267F87"/>
    <w:rsid w:val="0027357E"/>
    <w:rsid w:val="00275770"/>
    <w:rsid w:val="002819F4"/>
    <w:rsid w:val="002851F1"/>
    <w:rsid w:val="0028542E"/>
    <w:rsid w:val="002904DE"/>
    <w:rsid w:val="00292845"/>
    <w:rsid w:val="002A05D2"/>
    <w:rsid w:val="002B3E6D"/>
    <w:rsid w:val="002B7282"/>
    <w:rsid w:val="002C5924"/>
    <w:rsid w:val="002C7877"/>
    <w:rsid w:val="002C7C3C"/>
    <w:rsid w:val="002D3C16"/>
    <w:rsid w:val="002E0BB7"/>
    <w:rsid w:val="002E2DA2"/>
    <w:rsid w:val="002E3919"/>
    <w:rsid w:val="0030494A"/>
    <w:rsid w:val="00316AD8"/>
    <w:rsid w:val="003202D2"/>
    <w:rsid w:val="003266A8"/>
    <w:rsid w:val="00327A99"/>
    <w:rsid w:val="00327F3B"/>
    <w:rsid w:val="00331557"/>
    <w:rsid w:val="00333CF2"/>
    <w:rsid w:val="00346998"/>
    <w:rsid w:val="00352244"/>
    <w:rsid w:val="003546B7"/>
    <w:rsid w:val="0035517D"/>
    <w:rsid w:val="00367BFF"/>
    <w:rsid w:val="00367E20"/>
    <w:rsid w:val="0038360B"/>
    <w:rsid w:val="003970CF"/>
    <w:rsid w:val="003977BE"/>
    <w:rsid w:val="003A2883"/>
    <w:rsid w:val="003A43AC"/>
    <w:rsid w:val="003A7D38"/>
    <w:rsid w:val="003B227D"/>
    <w:rsid w:val="003B341A"/>
    <w:rsid w:val="003C05F8"/>
    <w:rsid w:val="003C27E0"/>
    <w:rsid w:val="003C364A"/>
    <w:rsid w:val="003C38B5"/>
    <w:rsid w:val="003C7F70"/>
    <w:rsid w:val="003D25E1"/>
    <w:rsid w:val="003D3E2B"/>
    <w:rsid w:val="003D4C8A"/>
    <w:rsid w:val="003E135C"/>
    <w:rsid w:val="003E3913"/>
    <w:rsid w:val="003E3D40"/>
    <w:rsid w:val="003F1C57"/>
    <w:rsid w:val="003F76D6"/>
    <w:rsid w:val="00404822"/>
    <w:rsid w:val="004068AA"/>
    <w:rsid w:val="0041450C"/>
    <w:rsid w:val="004211C2"/>
    <w:rsid w:val="004242D4"/>
    <w:rsid w:val="004312CB"/>
    <w:rsid w:val="00433211"/>
    <w:rsid w:val="004415C3"/>
    <w:rsid w:val="00446B0B"/>
    <w:rsid w:val="00456D33"/>
    <w:rsid w:val="00462D54"/>
    <w:rsid w:val="00472331"/>
    <w:rsid w:val="00474542"/>
    <w:rsid w:val="00481785"/>
    <w:rsid w:val="004932FB"/>
    <w:rsid w:val="00495023"/>
    <w:rsid w:val="004A41F1"/>
    <w:rsid w:val="004A4266"/>
    <w:rsid w:val="004A4993"/>
    <w:rsid w:val="004A5CD5"/>
    <w:rsid w:val="004B5AC6"/>
    <w:rsid w:val="004B6B35"/>
    <w:rsid w:val="004C2E86"/>
    <w:rsid w:val="004D1960"/>
    <w:rsid w:val="004D25E2"/>
    <w:rsid w:val="004E0510"/>
    <w:rsid w:val="004E1E2A"/>
    <w:rsid w:val="004E3C2C"/>
    <w:rsid w:val="004F58F4"/>
    <w:rsid w:val="00507A52"/>
    <w:rsid w:val="00511A0B"/>
    <w:rsid w:val="005121C9"/>
    <w:rsid w:val="0051635F"/>
    <w:rsid w:val="005250AF"/>
    <w:rsid w:val="0054121F"/>
    <w:rsid w:val="005427AE"/>
    <w:rsid w:val="00551807"/>
    <w:rsid w:val="005528E8"/>
    <w:rsid w:val="00561F99"/>
    <w:rsid w:val="00564FB0"/>
    <w:rsid w:val="005849FA"/>
    <w:rsid w:val="005A42ED"/>
    <w:rsid w:val="005B19F4"/>
    <w:rsid w:val="005B76F7"/>
    <w:rsid w:val="005C6F12"/>
    <w:rsid w:val="005D313E"/>
    <w:rsid w:val="005D48FF"/>
    <w:rsid w:val="005E2328"/>
    <w:rsid w:val="005E5515"/>
    <w:rsid w:val="00600DAD"/>
    <w:rsid w:val="0060243C"/>
    <w:rsid w:val="00605A3C"/>
    <w:rsid w:val="006120E1"/>
    <w:rsid w:val="00620372"/>
    <w:rsid w:val="0062054A"/>
    <w:rsid w:val="00627A6F"/>
    <w:rsid w:val="006426DB"/>
    <w:rsid w:val="00644FB4"/>
    <w:rsid w:val="006452C4"/>
    <w:rsid w:val="00646DA1"/>
    <w:rsid w:val="00646EC5"/>
    <w:rsid w:val="00647126"/>
    <w:rsid w:val="00647D5D"/>
    <w:rsid w:val="00653C0B"/>
    <w:rsid w:val="0065582C"/>
    <w:rsid w:val="00663D11"/>
    <w:rsid w:val="00670E3D"/>
    <w:rsid w:val="00673F20"/>
    <w:rsid w:val="00674182"/>
    <w:rsid w:val="0067476A"/>
    <w:rsid w:val="00686128"/>
    <w:rsid w:val="006C7F09"/>
    <w:rsid w:val="006D02D8"/>
    <w:rsid w:val="006D1649"/>
    <w:rsid w:val="006D2853"/>
    <w:rsid w:val="006E4163"/>
    <w:rsid w:val="006E44B8"/>
    <w:rsid w:val="006F7432"/>
    <w:rsid w:val="00701F91"/>
    <w:rsid w:val="00706258"/>
    <w:rsid w:val="00712A7F"/>
    <w:rsid w:val="00714FDC"/>
    <w:rsid w:val="00716901"/>
    <w:rsid w:val="0071733C"/>
    <w:rsid w:val="00731820"/>
    <w:rsid w:val="007374A0"/>
    <w:rsid w:val="0074040C"/>
    <w:rsid w:val="00740E9C"/>
    <w:rsid w:val="007532AE"/>
    <w:rsid w:val="00765A0A"/>
    <w:rsid w:val="00774F9A"/>
    <w:rsid w:val="0077763D"/>
    <w:rsid w:val="00795D03"/>
    <w:rsid w:val="007A09EA"/>
    <w:rsid w:val="007A62B7"/>
    <w:rsid w:val="007A74AC"/>
    <w:rsid w:val="007B02DD"/>
    <w:rsid w:val="007C091F"/>
    <w:rsid w:val="007C593C"/>
    <w:rsid w:val="007C6D3B"/>
    <w:rsid w:val="007E170B"/>
    <w:rsid w:val="007E2CF0"/>
    <w:rsid w:val="007E2D93"/>
    <w:rsid w:val="007E7F4E"/>
    <w:rsid w:val="007F0576"/>
    <w:rsid w:val="007F354A"/>
    <w:rsid w:val="008026D9"/>
    <w:rsid w:val="008048E3"/>
    <w:rsid w:val="00804DE8"/>
    <w:rsid w:val="00807A72"/>
    <w:rsid w:val="00813DE5"/>
    <w:rsid w:val="0081489D"/>
    <w:rsid w:val="00816912"/>
    <w:rsid w:val="00821410"/>
    <w:rsid w:val="00827DA7"/>
    <w:rsid w:val="00834C24"/>
    <w:rsid w:val="00852805"/>
    <w:rsid w:val="008636A5"/>
    <w:rsid w:val="00864BC9"/>
    <w:rsid w:val="008666D5"/>
    <w:rsid w:val="00867FA7"/>
    <w:rsid w:val="008740F1"/>
    <w:rsid w:val="008745AA"/>
    <w:rsid w:val="00875A05"/>
    <w:rsid w:val="00882D81"/>
    <w:rsid w:val="00884B00"/>
    <w:rsid w:val="00893357"/>
    <w:rsid w:val="008A39C3"/>
    <w:rsid w:val="008A4756"/>
    <w:rsid w:val="008C34A4"/>
    <w:rsid w:val="008C7738"/>
    <w:rsid w:val="008D133D"/>
    <w:rsid w:val="008E507C"/>
    <w:rsid w:val="008E62F8"/>
    <w:rsid w:val="008F3026"/>
    <w:rsid w:val="008F3ACC"/>
    <w:rsid w:val="008F5E37"/>
    <w:rsid w:val="008F628F"/>
    <w:rsid w:val="009026A7"/>
    <w:rsid w:val="00906434"/>
    <w:rsid w:val="009077F4"/>
    <w:rsid w:val="00911A6E"/>
    <w:rsid w:val="00913ACC"/>
    <w:rsid w:val="00917DD2"/>
    <w:rsid w:val="00920B70"/>
    <w:rsid w:val="00922F56"/>
    <w:rsid w:val="00924079"/>
    <w:rsid w:val="00935523"/>
    <w:rsid w:val="0093733D"/>
    <w:rsid w:val="0094323F"/>
    <w:rsid w:val="00944FB6"/>
    <w:rsid w:val="00971B3E"/>
    <w:rsid w:val="00974160"/>
    <w:rsid w:val="00981BF3"/>
    <w:rsid w:val="009833F9"/>
    <w:rsid w:val="009909E9"/>
    <w:rsid w:val="00996C80"/>
    <w:rsid w:val="00996EC6"/>
    <w:rsid w:val="009A078E"/>
    <w:rsid w:val="009A50DF"/>
    <w:rsid w:val="009C0463"/>
    <w:rsid w:val="009E02FD"/>
    <w:rsid w:val="009E071C"/>
    <w:rsid w:val="009E5707"/>
    <w:rsid w:val="009E5F16"/>
    <w:rsid w:val="009F3D0D"/>
    <w:rsid w:val="00A01FE1"/>
    <w:rsid w:val="00A03040"/>
    <w:rsid w:val="00A04C73"/>
    <w:rsid w:val="00A10D65"/>
    <w:rsid w:val="00A164EF"/>
    <w:rsid w:val="00A234C7"/>
    <w:rsid w:val="00A3109A"/>
    <w:rsid w:val="00A41942"/>
    <w:rsid w:val="00A440FF"/>
    <w:rsid w:val="00A45199"/>
    <w:rsid w:val="00A566FF"/>
    <w:rsid w:val="00A70E88"/>
    <w:rsid w:val="00A7673A"/>
    <w:rsid w:val="00A9037B"/>
    <w:rsid w:val="00A91EB5"/>
    <w:rsid w:val="00A975CC"/>
    <w:rsid w:val="00AB20C1"/>
    <w:rsid w:val="00AB6110"/>
    <w:rsid w:val="00AB7EFE"/>
    <w:rsid w:val="00AC05E3"/>
    <w:rsid w:val="00AC0D3A"/>
    <w:rsid w:val="00AC25F2"/>
    <w:rsid w:val="00AC5F6D"/>
    <w:rsid w:val="00AD124E"/>
    <w:rsid w:val="00AD27F2"/>
    <w:rsid w:val="00AD7531"/>
    <w:rsid w:val="00AE289B"/>
    <w:rsid w:val="00AE2D96"/>
    <w:rsid w:val="00AE3942"/>
    <w:rsid w:val="00AF1EE2"/>
    <w:rsid w:val="00AF38BF"/>
    <w:rsid w:val="00B06E4D"/>
    <w:rsid w:val="00B163C9"/>
    <w:rsid w:val="00B20A00"/>
    <w:rsid w:val="00B47FC9"/>
    <w:rsid w:val="00B52711"/>
    <w:rsid w:val="00B54560"/>
    <w:rsid w:val="00B56ADE"/>
    <w:rsid w:val="00B57A49"/>
    <w:rsid w:val="00B92A85"/>
    <w:rsid w:val="00B9443D"/>
    <w:rsid w:val="00BA5775"/>
    <w:rsid w:val="00BB5E0D"/>
    <w:rsid w:val="00BB7532"/>
    <w:rsid w:val="00BC0197"/>
    <w:rsid w:val="00BC4FFD"/>
    <w:rsid w:val="00BD191C"/>
    <w:rsid w:val="00BD21EB"/>
    <w:rsid w:val="00BD2EF9"/>
    <w:rsid w:val="00BD5702"/>
    <w:rsid w:val="00BD7F09"/>
    <w:rsid w:val="00BF0690"/>
    <w:rsid w:val="00C00635"/>
    <w:rsid w:val="00C0179D"/>
    <w:rsid w:val="00C01F6C"/>
    <w:rsid w:val="00C050DE"/>
    <w:rsid w:val="00C101BF"/>
    <w:rsid w:val="00C10261"/>
    <w:rsid w:val="00C137DE"/>
    <w:rsid w:val="00C165EE"/>
    <w:rsid w:val="00C22826"/>
    <w:rsid w:val="00C311ED"/>
    <w:rsid w:val="00C455A8"/>
    <w:rsid w:val="00C50A23"/>
    <w:rsid w:val="00C50D16"/>
    <w:rsid w:val="00C52B8E"/>
    <w:rsid w:val="00C621AD"/>
    <w:rsid w:val="00C624EC"/>
    <w:rsid w:val="00C62EFE"/>
    <w:rsid w:val="00C63D02"/>
    <w:rsid w:val="00C65F98"/>
    <w:rsid w:val="00C84B2D"/>
    <w:rsid w:val="00C85E7B"/>
    <w:rsid w:val="00C94992"/>
    <w:rsid w:val="00C94AB0"/>
    <w:rsid w:val="00C961A1"/>
    <w:rsid w:val="00CB54FF"/>
    <w:rsid w:val="00CC1B9D"/>
    <w:rsid w:val="00CD3155"/>
    <w:rsid w:val="00CD6D2D"/>
    <w:rsid w:val="00CD7CD8"/>
    <w:rsid w:val="00CE1FA9"/>
    <w:rsid w:val="00CE2350"/>
    <w:rsid w:val="00CF1811"/>
    <w:rsid w:val="00CF1E49"/>
    <w:rsid w:val="00CF3372"/>
    <w:rsid w:val="00CF7B99"/>
    <w:rsid w:val="00D009EE"/>
    <w:rsid w:val="00D03F58"/>
    <w:rsid w:val="00D046CD"/>
    <w:rsid w:val="00D1038A"/>
    <w:rsid w:val="00D2119F"/>
    <w:rsid w:val="00D342B6"/>
    <w:rsid w:val="00D35F1E"/>
    <w:rsid w:val="00D42756"/>
    <w:rsid w:val="00D45CDC"/>
    <w:rsid w:val="00D5101C"/>
    <w:rsid w:val="00D618A5"/>
    <w:rsid w:val="00D61C01"/>
    <w:rsid w:val="00D648C6"/>
    <w:rsid w:val="00D64DA7"/>
    <w:rsid w:val="00D7068D"/>
    <w:rsid w:val="00D72BE0"/>
    <w:rsid w:val="00D80B47"/>
    <w:rsid w:val="00D8170E"/>
    <w:rsid w:val="00D85D10"/>
    <w:rsid w:val="00D92F66"/>
    <w:rsid w:val="00DA4D79"/>
    <w:rsid w:val="00DA610D"/>
    <w:rsid w:val="00DB05F8"/>
    <w:rsid w:val="00DB3886"/>
    <w:rsid w:val="00DB7489"/>
    <w:rsid w:val="00DC1F3F"/>
    <w:rsid w:val="00DD050C"/>
    <w:rsid w:val="00DD2F64"/>
    <w:rsid w:val="00DD342C"/>
    <w:rsid w:val="00DD3F5B"/>
    <w:rsid w:val="00DE0E84"/>
    <w:rsid w:val="00DE1018"/>
    <w:rsid w:val="00DE2C8F"/>
    <w:rsid w:val="00DE7992"/>
    <w:rsid w:val="00DE7C61"/>
    <w:rsid w:val="00DF28CC"/>
    <w:rsid w:val="00DF4CF0"/>
    <w:rsid w:val="00E04EF7"/>
    <w:rsid w:val="00E223FB"/>
    <w:rsid w:val="00E277A3"/>
    <w:rsid w:val="00E34507"/>
    <w:rsid w:val="00E403AE"/>
    <w:rsid w:val="00E449BE"/>
    <w:rsid w:val="00E552D2"/>
    <w:rsid w:val="00E63141"/>
    <w:rsid w:val="00E67076"/>
    <w:rsid w:val="00E76EC6"/>
    <w:rsid w:val="00E924D6"/>
    <w:rsid w:val="00E9393B"/>
    <w:rsid w:val="00EA2BDB"/>
    <w:rsid w:val="00EC20EA"/>
    <w:rsid w:val="00EC7BE0"/>
    <w:rsid w:val="00EE2607"/>
    <w:rsid w:val="00EE3695"/>
    <w:rsid w:val="00EE5A9F"/>
    <w:rsid w:val="00EE5D49"/>
    <w:rsid w:val="00F00F5B"/>
    <w:rsid w:val="00F07969"/>
    <w:rsid w:val="00F21B7B"/>
    <w:rsid w:val="00F37EC2"/>
    <w:rsid w:val="00F402BE"/>
    <w:rsid w:val="00F42429"/>
    <w:rsid w:val="00F42987"/>
    <w:rsid w:val="00F45FCD"/>
    <w:rsid w:val="00F47C7A"/>
    <w:rsid w:val="00F6610A"/>
    <w:rsid w:val="00F7387B"/>
    <w:rsid w:val="00F754AA"/>
    <w:rsid w:val="00F77A89"/>
    <w:rsid w:val="00F8438B"/>
    <w:rsid w:val="00F92578"/>
    <w:rsid w:val="00F95088"/>
    <w:rsid w:val="00FA3D76"/>
    <w:rsid w:val="00FA3E7E"/>
    <w:rsid w:val="00FA4259"/>
    <w:rsid w:val="00FA7FC4"/>
    <w:rsid w:val="00FB7C9A"/>
    <w:rsid w:val="00FC2E6F"/>
    <w:rsid w:val="00FD684E"/>
    <w:rsid w:val="00FD745E"/>
    <w:rsid w:val="00FE3497"/>
    <w:rsid w:val="00FE449D"/>
    <w:rsid w:val="00FE6021"/>
    <w:rsid w:val="00FF0D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A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D4"/>
    <w:pPr>
      <w:spacing w:after="200" w:line="276" w:lineRule="auto"/>
    </w:pPr>
    <w:rPr>
      <w:rFonts w:ascii="Verdana" w:hAnsi="Verdana"/>
      <w:sz w:val="22"/>
      <w:szCs w:val="22"/>
    </w:rPr>
  </w:style>
  <w:style w:type="paragraph" w:styleId="Heading1">
    <w:name w:val="heading 1"/>
    <w:basedOn w:val="Normal"/>
    <w:next w:val="Normal"/>
    <w:link w:val="Heading1Char"/>
    <w:uiPriority w:val="9"/>
    <w:qFormat/>
    <w:rsid w:val="00716901"/>
    <w:pPr>
      <w:keepNext/>
      <w:keepLines/>
      <w:spacing w:before="480" w:after="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
    <w:unhideWhenUsed/>
    <w:qFormat/>
    <w:rsid w:val="00716901"/>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D72BE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2328"/>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2328"/>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2328"/>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232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232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232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4B00"/>
    <w:pPr>
      <w:numPr>
        <w:numId w:val="2"/>
      </w:numPr>
      <w:pBdr>
        <w:bottom w:val="single" w:sz="8" w:space="4" w:color="4F81BD"/>
      </w:pBdr>
      <w:spacing w:after="300" w:line="240" w:lineRule="auto"/>
      <w:ind w:left="426" w:hanging="426"/>
      <w:contextualSpacing/>
    </w:pPr>
    <w:rPr>
      <w:rFonts w:ascii="Calibri" w:eastAsia="Times New Roman" w:hAnsi="Calibri"/>
      <w:color w:val="17365D"/>
      <w:spacing w:val="5"/>
      <w:kern w:val="28"/>
      <w:sz w:val="36"/>
      <w:szCs w:val="52"/>
    </w:rPr>
  </w:style>
  <w:style w:type="character" w:customStyle="1" w:styleId="TitleChar">
    <w:name w:val="Title Char"/>
    <w:basedOn w:val="DefaultParagraphFont"/>
    <w:link w:val="Title"/>
    <w:uiPriority w:val="10"/>
    <w:rsid w:val="00884B00"/>
    <w:rPr>
      <w:rFonts w:eastAsia="Times New Roman"/>
      <w:color w:val="17365D"/>
      <w:spacing w:val="5"/>
      <w:kern w:val="28"/>
      <w:sz w:val="36"/>
      <w:szCs w:val="52"/>
    </w:rPr>
  </w:style>
  <w:style w:type="character" w:customStyle="1" w:styleId="Heading1Char">
    <w:name w:val="Heading 1 Char"/>
    <w:basedOn w:val="DefaultParagraphFont"/>
    <w:link w:val="Heading1"/>
    <w:uiPriority w:val="9"/>
    <w:rsid w:val="00716901"/>
    <w:rPr>
      <w:rFonts w:eastAsia="Times New Roman"/>
      <w:b/>
      <w:bCs/>
      <w:color w:val="365F91"/>
      <w:sz w:val="28"/>
      <w:szCs w:val="28"/>
    </w:rPr>
  </w:style>
  <w:style w:type="character" w:customStyle="1" w:styleId="Heading2Char">
    <w:name w:val="Heading 2 Char"/>
    <w:basedOn w:val="DefaultParagraphFont"/>
    <w:link w:val="Heading2"/>
    <w:uiPriority w:val="9"/>
    <w:rsid w:val="00716901"/>
    <w:rPr>
      <w:rFonts w:ascii="Verdana" w:eastAsia="Times New Roman" w:hAnsi="Verdana"/>
      <w:b/>
      <w:bCs/>
      <w:color w:val="4F81BD"/>
      <w:sz w:val="26"/>
      <w:szCs w:val="26"/>
    </w:rPr>
  </w:style>
  <w:style w:type="paragraph" w:styleId="BalloonText">
    <w:name w:val="Balloon Text"/>
    <w:basedOn w:val="Normal"/>
    <w:link w:val="BalloonTextChar"/>
    <w:uiPriority w:val="99"/>
    <w:semiHidden/>
    <w:unhideWhenUsed/>
    <w:rsid w:val="00CD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55"/>
    <w:rPr>
      <w:rFonts w:ascii="Tahoma" w:hAnsi="Tahoma" w:cs="Tahoma"/>
      <w:sz w:val="16"/>
      <w:szCs w:val="16"/>
      <w:lang w:eastAsia="en-US"/>
    </w:rPr>
  </w:style>
  <w:style w:type="character" w:styleId="Hyperlink">
    <w:name w:val="Hyperlink"/>
    <w:basedOn w:val="DefaultParagraphFont"/>
    <w:uiPriority w:val="99"/>
    <w:unhideWhenUsed/>
    <w:rsid w:val="005B19F4"/>
    <w:rPr>
      <w:color w:val="0000FF"/>
      <w:u w:val="single"/>
    </w:rPr>
  </w:style>
  <w:style w:type="paragraph" w:styleId="Footer">
    <w:name w:val="footer"/>
    <w:basedOn w:val="Normal"/>
    <w:link w:val="FooterChar"/>
    <w:uiPriority w:val="99"/>
    <w:unhideWhenUsed/>
    <w:rsid w:val="001C7CBC"/>
    <w:pPr>
      <w:pBdr>
        <w:top w:val="single" w:sz="4" w:space="1" w:color="auto"/>
      </w:pBdr>
      <w:tabs>
        <w:tab w:val="center" w:pos="4320"/>
        <w:tab w:val="right" w:pos="8640"/>
      </w:tabs>
      <w:spacing w:after="0" w:line="240" w:lineRule="auto"/>
    </w:pPr>
  </w:style>
  <w:style w:type="character" w:customStyle="1" w:styleId="FooterChar">
    <w:name w:val="Footer Char"/>
    <w:basedOn w:val="DefaultParagraphFont"/>
    <w:link w:val="Footer"/>
    <w:uiPriority w:val="99"/>
    <w:rsid w:val="001C7CBC"/>
    <w:rPr>
      <w:rFonts w:ascii="Cambria" w:hAnsi="Cambria"/>
      <w:sz w:val="22"/>
      <w:szCs w:val="22"/>
    </w:rPr>
  </w:style>
  <w:style w:type="character" w:styleId="PageNumber">
    <w:name w:val="page number"/>
    <w:basedOn w:val="DefaultParagraphFont"/>
    <w:uiPriority w:val="99"/>
    <w:semiHidden/>
    <w:unhideWhenUsed/>
    <w:rsid w:val="001C7CBC"/>
  </w:style>
  <w:style w:type="paragraph" w:styleId="Header">
    <w:name w:val="header"/>
    <w:basedOn w:val="Normal"/>
    <w:link w:val="HeaderChar"/>
    <w:uiPriority w:val="99"/>
    <w:unhideWhenUsed/>
    <w:rsid w:val="001C7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CBC"/>
    <w:rPr>
      <w:rFonts w:ascii="Cambria" w:hAnsi="Cambria"/>
      <w:sz w:val="22"/>
      <w:szCs w:val="22"/>
    </w:rPr>
  </w:style>
  <w:style w:type="paragraph" w:styleId="NoSpacing">
    <w:name w:val="No Spacing"/>
    <w:link w:val="NoSpacingChar"/>
    <w:qFormat/>
    <w:rsid w:val="001C7CBC"/>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1C7CBC"/>
    <w:rPr>
      <w:rFonts w:ascii="PMingLiU" w:eastAsiaTheme="minorEastAsia" w:hAnsi="PMingLiU" w:cstheme="minorBidi"/>
      <w:sz w:val="22"/>
      <w:szCs w:val="22"/>
      <w:lang w:val="en-US"/>
    </w:rPr>
  </w:style>
  <w:style w:type="table" w:styleId="LightShading-Accent1">
    <w:name w:val="Light Shading Accent 1"/>
    <w:basedOn w:val="TableNormal"/>
    <w:uiPriority w:val="60"/>
    <w:rsid w:val="001C7CBC"/>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44FB4"/>
    <w:pPr>
      <w:ind w:left="720"/>
      <w:contextualSpacing/>
    </w:pPr>
  </w:style>
  <w:style w:type="character" w:customStyle="1" w:styleId="Heading3Char">
    <w:name w:val="Heading 3 Char"/>
    <w:basedOn w:val="DefaultParagraphFont"/>
    <w:link w:val="Heading3"/>
    <w:uiPriority w:val="9"/>
    <w:semiHidden/>
    <w:rsid w:val="00D72BE0"/>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4B5AC6"/>
    <w:rPr>
      <w:color w:val="800080" w:themeColor="followedHyperlink"/>
      <w:u w:val="single"/>
    </w:rPr>
  </w:style>
  <w:style w:type="table" w:styleId="TableGrid">
    <w:name w:val="Table Grid"/>
    <w:basedOn w:val="TableNormal"/>
    <w:uiPriority w:val="59"/>
    <w:rsid w:val="0083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77A3"/>
    <w:pPr>
      <w:spacing w:before="100" w:beforeAutospacing="1" w:after="100" w:afterAutospacing="1" w:line="240" w:lineRule="auto"/>
    </w:pPr>
    <w:rPr>
      <w:rFonts w:ascii="Times" w:eastAsiaTheme="minorEastAsia" w:hAnsi="Times"/>
      <w:sz w:val="20"/>
      <w:szCs w:val="20"/>
    </w:rPr>
  </w:style>
  <w:style w:type="paragraph" w:styleId="Caption">
    <w:name w:val="caption"/>
    <w:basedOn w:val="Normal"/>
    <w:next w:val="Normal"/>
    <w:uiPriority w:val="35"/>
    <w:unhideWhenUsed/>
    <w:qFormat/>
    <w:rsid w:val="00653C0B"/>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4068AA"/>
    <w:pPr>
      <w:spacing w:after="0" w:line="240" w:lineRule="auto"/>
    </w:pPr>
    <w:rPr>
      <w:sz w:val="24"/>
      <w:szCs w:val="24"/>
    </w:rPr>
  </w:style>
  <w:style w:type="character" w:customStyle="1" w:styleId="FootnoteTextChar">
    <w:name w:val="Footnote Text Char"/>
    <w:basedOn w:val="DefaultParagraphFont"/>
    <w:link w:val="FootnoteText"/>
    <w:uiPriority w:val="99"/>
    <w:rsid w:val="004068AA"/>
    <w:rPr>
      <w:rFonts w:ascii="Verdana" w:hAnsi="Verdana"/>
    </w:rPr>
  </w:style>
  <w:style w:type="character" w:styleId="FootnoteReference">
    <w:name w:val="footnote reference"/>
    <w:basedOn w:val="DefaultParagraphFont"/>
    <w:uiPriority w:val="99"/>
    <w:unhideWhenUsed/>
    <w:rsid w:val="004068AA"/>
    <w:rPr>
      <w:vertAlign w:val="superscript"/>
    </w:rPr>
  </w:style>
  <w:style w:type="paragraph" w:customStyle="1" w:styleId="NoteLevel21">
    <w:name w:val="Note Level 21"/>
    <w:basedOn w:val="Normal"/>
    <w:uiPriority w:val="1"/>
    <w:qFormat/>
    <w:rsid w:val="00701F91"/>
    <w:pPr>
      <w:keepNext/>
      <w:spacing w:after="0"/>
      <w:contextualSpacing/>
      <w:outlineLvl w:val="1"/>
    </w:pPr>
  </w:style>
  <w:style w:type="character" w:customStyle="1" w:styleId="tgc">
    <w:name w:val="_tgc"/>
    <w:basedOn w:val="DefaultParagraphFont"/>
    <w:rsid w:val="0093733D"/>
  </w:style>
  <w:style w:type="character" w:customStyle="1" w:styleId="st">
    <w:name w:val="st"/>
    <w:basedOn w:val="DefaultParagraphFont"/>
    <w:rsid w:val="00B163C9"/>
  </w:style>
  <w:style w:type="character" w:styleId="CommentReference">
    <w:name w:val="annotation reference"/>
    <w:basedOn w:val="DefaultParagraphFont"/>
    <w:uiPriority w:val="99"/>
    <w:semiHidden/>
    <w:unhideWhenUsed/>
    <w:rsid w:val="00AC05E3"/>
    <w:rPr>
      <w:sz w:val="18"/>
      <w:szCs w:val="18"/>
    </w:rPr>
  </w:style>
  <w:style w:type="paragraph" w:styleId="CommentText">
    <w:name w:val="annotation text"/>
    <w:basedOn w:val="Normal"/>
    <w:link w:val="CommentTextChar"/>
    <w:uiPriority w:val="99"/>
    <w:semiHidden/>
    <w:unhideWhenUsed/>
    <w:rsid w:val="00AC05E3"/>
    <w:pPr>
      <w:spacing w:line="240" w:lineRule="auto"/>
    </w:pPr>
    <w:rPr>
      <w:sz w:val="24"/>
      <w:szCs w:val="24"/>
    </w:rPr>
  </w:style>
  <w:style w:type="character" w:customStyle="1" w:styleId="CommentTextChar">
    <w:name w:val="Comment Text Char"/>
    <w:basedOn w:val="DefaultParagraphFont"/>
    <w:link w:val="CommentText"/>
    <w:uiPriority w:val="99"/>
    <w:semiHidden/>
    <w:rsid w:val="00AC05E3"/>
    <w:rPr>
      <w:rFonts w:ascii="Verdana" w:hAnsi="Verdana"/>
    </w:rPr>
  </w:style>
  <w:style w:type="paragraph" w:styleId="CommentSubject">
    <w:name w:val="annotation subject"/>
    <w:basedOn w:val="CommentText"/>
    <w:next w:val="CommentText"/>
    <w:link w:val="CommentSubjectChar"/>
    <w:uiPriority w:val="99"/>
    <w:semiHidden/>
    <w:unhideWhenUsed/>
    <w:rsid w:val="00AC05E3"/>
    <w:rPr>
      <w:b/>
      <w:bCs/>
      <w:sz w:val="20"/>
      <w:szCs w:val="20"/>
    </w:rPr>
  </w:style>
  <w:style w:type="character" w:customStyle="1" w:styleId="CommentSubjectChar">
    <w:name w:val="Comment Subject Char"/>
    <w:basedOn w:val="CommentTextChar"/>
    <w:link w:val="CommentSubject"/>
    <w:uiPriority w:val="99"/>
    <w:semiHidden/>
    <w:rsid w:val="00AC05E3"/>
    <w:rPr>
      <w:rFonts w:ascii="Verdana" w:hAnsi="Verdana"/>
      <w:b/>
      <w:bCs/>
      <w:sz w:val="20"/>
      <w:szCs w:val="20"/>
    </w:rPr>
  </w:style>
  <w:style w:type="character" w:styleId="IntenseEmphasis">
    <w:name w:val="Intense Emphasis"/>
    <w:basedOn w:val="DefaultParagraphFont"/>
    <w:uiPriority w:val="21"/>
    <w:qFormat/>
    <w:rsid w:val="00AC05E3"/>
    <w:rPr>
      <w:b/>
      <w:bCs/>
      <w:i/>
      <w:iCs/>
      <w:color w:val="4F81BD" w:themeColor="accent1"/>
    </w:rPr>
  </w:style>
  <w:style w:type="character" w:styleId="Strong">
    <w:name w:val="Strong"/>
    <w:basedOn w:val="DefaultParagraphFont"/>
    <w:uiPriority w:val="22"/>
    <w:qFormat/>
    <w:rsid w:val="00AC05E3"/>
    <w:rPr>
      <w:b/>
      <w:bCs/>
    </w:rPr>
  </w:style>
  <w:style w:type="character" w:customStyle="1" w:styleId="Heading4Char">
    <w:name w:val="Heading 4 Char"/>
    <w:basedOn w:val="DefaultParagraphFont"/>
    <w:link w:val="Heading4"/>
    <w:uiPriority w:val="9"/>
    <w:semiHidden/>
    <w:rsid w:val="005E2328"/>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5E232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E232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5E232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E23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232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C27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7E0"/>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0"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6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2D4"/>
    <w:pPr>
      <w:spacing w:after="200" w:line="276" w:lineRule="auto"/>
    </w:pPr>
    <w:rPr>
      <w:rFonts w:ascii="Verdana" w:hAnsi="Verdana"/>
      <w:sz w:val="22"/>
      <w:szCs w:val="22"/>
    </w:rPr>
  </w:style>
  <w:style w:type="paragraph" w:styleId="Heading1">
    <w:name w:val="heading 1"/>
    <w:basedOn w:val="Normal"/>
    <w:next w:val="Normal"/>
    <w:link w:val="Heading1Char"/>
    <w:uiPriority w:val="9"/>
    <w:qFormat/>
    <w:rsid w:val="00716901"/>
    <w:pPr>
      <w:keepNext/>
      <w:keepLines/>
      <w:spacing w:before="480" w:after="0"/>
      <w:outlineLvl w:val="0"/>
    </w:pPr>
    <w:rPr>
      <w:rFonts w:ascii="Calibri" w:eastAsia="Times New Roman" w:hAnsi="Calibri"/>
      <w:b/>
      <w:bCs/>
      <w:color w:val="365F91"/>
      <w:sz w:val="28"/>
      <w:szCs w:val="28"/>
    </w:rPr>
  </w:style>
  <w:style w:type="paragraph" w:styleId="Heading2">
    <w:name w:val="heading 2"/>
    <w:basedOn w:val="Normal"/>
    <w:next w:val="Normal"/>
    <w:link w:val="Heading2Char"/>
    <w:uiPriority w:val="9"/>
    <w:unhideWhenUsed/>
    <w:qFormat/>
    <w:rsid w:val="00716901"/>
    <w:pPr>
      <w:keepNext/>
      <w:keepLines/>
      <w:spacing w:before="200" w:after="0"/>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D72BE0"/>
    <w:pPr>
      <w:keepNext/>
      <w:keepLines/>
      <w:numPr>
        <w:ilvl w:val="2"/>
        <w:numId w:val="1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E2328"/>
    <w:pPr>
      <w:keepNext/>
      <w:keepLines/>
      <w:numPr>
        <w:ilvl w:val="3"/>
        <w:numId w:val="1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E2328"/>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E2328"/>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E2328"/>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E2328"/>
    <w:pPr>
      <w:keepNext/>
      <w:keepLines/>
      <w:numPr>
        <w:ilvl w:val="7"/>
        <w:numId w:val="1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E2328"/>
    <w:pPr>
      <w:keepNext/>
      <w:keepLines/>
      <w:numPr>
        <w:ilvl w:val="8"/>
        <w:numId w:val="1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4B00"/>
    <w:pPr>
      <w:numPr>
        <w:numId w:val="2"/>
      </w:numPr>
      <w:pBdr>
        <w:bottom w:val="single" w:sz="8" w:space="4" w:color="4F81BD"/>
      </w:pBdr>
      <w:spacing w:after="300" w:line="240" w:lineRule="auto"/>
      <w:ind w:left="426" w:hanging="426"/>
      <w:contextualSpacing/>
    </w:pPr>
    <w:rPr>
      <w:rFonts w:ascii="Calibri" w:eastAsia="Times New Roman" w:hAnsi="Calibri"/>
      <w:color w:val="17365D"/>
      <w:spacing w:val="5"/>
      <w:kern w:val="28"/>
      <w:sz w:val="36"/>
      <w:szCs w:val="52"/>
    </w:rPr>
  </w:style>
  <w:style w:type="character" w:customStyle="1" w:styleId="TitleChar">
    <w:name w:val="Title Char"/>
    <w:basedOn w:val="DefaultParagraphFont"/>
    <w:link w:val="Title"/>
    <w:uiPriority w:val="10"/>
    <w:rsid w:val="00884B00"/>
    <w:rPr>
      <w:rFonts w:eastAsia="Times New Roman"/>
      <w:color w:val="17365D"/>
      <w:spacing w:val="5"/>
      <w:kern w:val="28"/>
      <w:sz w:val="36"/>
      <w:szCs w:val="52"/>
    </w:rPr>
  </w:style>
  <w:style w:type="character" w:customStyle="1" w:styleId="Heading1Char">
    <w:name w:val="Heading 1 Char"/>
    <w:basedOn w:val="DefaultParagraphFont"/>
    <w:link w:val="Heading1"/>
    <w:uiPriority w:val="9"/>
    <w:rsid w:val="00716901"/>
    <w:rPr>
      <w:rFonts w:eastAsia="Times New Roman"/>
      <w:b/>
      <w:bCs/>
      <w:color w:val="365F91"/>
      <w:sz w:val="28"/>
      <w:szCs w:val="28"/>
    </w:rPr>
  </w:style>
  <w:style w:type="character" w:customStyle="1" w:styleId="Heading2Char">
    <w:name w:val="Heading 2 Char"/>
    <w:basedOn w:val="DefaultParagraphFont"/>
    <w:link w:val="Heading2"/>
    <w:uiPriority w:val="9"/>
    <w:rsid w:val="00716901"/>
    <w:rPr>
      <w:rFonts w:ascii="Verdana" w:eastAsia="Times New Roman" w:hAnsi="Verdana"/>
      <w:b/>
      <w:bCs/>
      <w:color w:val="4F81BD"/>
      <w:sz w:val="26"/>
      <w:szCs w:val="26"/>
    </w:rPr>
  </w:style>
  <w:style w:type="paragraph" w:styleId="BalloonText">
    <w:name w:val="Balloon Text"/>
    <w:basedOn w:val="Normal"/>
    <w:link w:val="BalloonTextChar"/>
    <w:uiPriority w:val="99"/>
    <w:semiHidden/>
    <w:unhideWhenUsed/>
    <w:rsid w:val="00CD3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3155"/>
    <w:rPr>
      <w:rFonts w:ascii="Tahoma" w:hAnsi="Tahoma" w:cs="Tahoma"/>
      <w:sz w:val="16"/>
      <w:szCs w:val="16"/>
      <w:lang w:eastAsia="en-US"/>
    </w:rPr>
  </w:style>
  <w:style w:type="character" w:styleId="Hyperlink">
    <w:name w:val="Hyperlink"/>
    <w:basedOn w:val="DefaultParagraphFont"/>
    <w:uiPriority w:val="99"/>
    <w:unhideWhenUsed/>
    <w:rsid w:val="005B19F4"/>
    <w:rPr>
      <w:color w:val="0000FF"/>
      <w:u w:val="single"/>
    </w:rPr>
  </w:style>
  <w:style w:type="paragraph" w:styleId="Footer">
    <w:name w:val="footer"/>
    <w:basedOn w:val="Normal"/>
    <w:link w:val="FooterChar"/>
    <w:uiPriority w:val="99"/>
    <w:unhideWhenUsed/>
    <w:rsid w:val="001C7CBC"/>
    <w:pPr>
      <w:pBdr>
        <w:top w:val="single" w:sz="4" w:space="1" w:color="auto"/>
      </w:pBdr>
      <w:tabs>
        <w:tab w:val="center" w:pos="4320"/>
        <w:tab w:val="right" w:pos="8640"/>
      </w:tabs>
      <w:spacing w:after="0" w:line="240" w:lineRule="auto"/>
    </w:pPr>
  </w:style>
  <w:style w:type="character" w:customStyle="1" w:styleId="FooterChar">
    <w:name w:val="Footer Char"/>
    <w:basedOn w:val="DefaultParagraphFont"/>
    <w:link w:val="Footer"/>
    <w:uiPriority w:val="99"/>
    <w:rsid w:val="001C7CBC"/>
    <w:rPr>
      <w:rFonts w:ascii="Cambria" w:hAnsi="Cambria"/>
      <w:sz w:val="22"/>
      <w:szCs w:val="22"/>
    </w:rPr>
  </w:style>
  <w:style w:type="character" w:styleId="PageNumber">
    <w:name w:val="page number"/>
    <w:basedOn w:val="DefaultParagraphFont"/>
    <w:uiPriority w:val="99"/>
    <w:semiHidden/>
    <w:unhideWhenUsed/>
    <w:rsid w:val="001C7CBC"/>
  </w:style>
  <w:style w:type="paragraph" w:styleId="Header">
    <w:name w:val="header"/>
    <w:basedOn w:val="Normal"/>
    <w:link w:val="HeaderChar"/>
    <w:uiPriority w:val="99"/>
    <w:unhideWhenUsed/>
    <w:rsid w:val="001C7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C7CBC"/>
    <w:rPr>
      <w:rFonts w:ascii="Cambria" w:hAnsi="Cambria"/>
      <w:sz w:val="22"/>
      <w:szCs w:val="22"/>
    </w:rPr>
  </w:style>
  <w:style w:type="paragraph" w:styleId="NoSpacing">
    <w:name w:val="No Spacing"/>
    <w:link w:val="NoSpacingChar"/>
    <w:qFormat/>
    <w:rsid w:val="001C7CBC"/>
    <w:rPr>
      <w:rFonts w:ascii="PMingLiU" w:eastAsiaTheme="minorEastAsia" w:hAnsi="PMingLiU" w:cstheme="minorBidi"/>
      <w:sz w:val="22"/>
      <w:szCs w:val="22"/>
      <w:lang w:val="en-US"/>
    </w:rPr>
  </w:style>
  <w:style w:type="character" w:customStyle="1" w:styleId="NoSpacingChar">
    <w:name w:val="No Spacing Char"/>
    <w:basedOn w:val="DefaultParagraphFont"/>
    <w:link w:val="NoSpacing"/>
    <w:rsid w:val="001C7CBC"/>
    <w:rPr>
      <w:rFonts w:ascii="PMingLiU" w:eastAsiaTheme="minorEastAsia" w:hAnsi="PMingLiU" w:cstheme="minorBidi"/>
      <w:sz w:val="22"/>
      <w:szCs w:val="22"/>
      <w:lang w:val="en-US"/>
    </w:rPr>
  </w:style>
  <w:style w:type="table" w:styleId="LightShading-Accent1">
    <w:name w:val="Light Shading Accent 1"/>
    <w:basedOn w:val="TableNormal"/>
    <w:uiPriority w:val="60"/>
    <w:rsid w:val="001C7CBC"/>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644FB4"/>
    <w:pPr>
      <w:ind w:left="720"/>
      <w:contextualSpacing/>
    </w:pPr>
  </w:style>
  <w:style w:type="character" w:customStyle="1" w:styleId="Heading3Char">
    <w:name w:val="Heading 3 Char"/>
    <w:basedOn w:val="DefaultParagraphFont"/>
    <w:link w:val="Heading3"/>
    <w:uiPriority w:val="9"/>
    <w:semiHidden/>
    <w:rsid w:val="00D72BE0"/>
    <w:rPr>
      <w:rFonts w:asciiTheme="majorHAnsi" w:eastAsiaTheme="majorEastAsia" w:hAnsiTheme="majorHAnsi" w:cstheme="majorBidi"/>
      <w:b/>
      <w:bCs/>
      <w:color w:val="4F81BD" w:themeColor="accent1"/>
      <w:sz w:val="22"/>
      <w:szCs w:val="22"/>
    </w:rPr>
  </w:style>
  <w:style w:type="character" w:styleId="FollowedHyperlink">
    <w:name w:val="FollowedHyperlink"/>
    <w:basedOn w:val="DefaultParagraphFont"/>
    <w:uiPriority w:val="99"/>
    <w:semiHidden/>
    <w:unhideWhenUsed/>
    <w:rsid w:val="004B5AC6"/>
    <w:rPr>
      <w:color w:val="800080" w:themeColor="followedHyperlink"/>
      <w:u w:val="single"/>
    </w:rPr>
  </w:style>
  <w:style w:type="table" w:styleId="TableGrid">
    <w:name w:val="Table Grid"/>
    <w:basedOn w:val="TableNormal"/>
    <w:uiPriority w:val="59"/>
    <w:rsid w:val="00834C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277A3"/>
    <w:pPr>
      <w:spacing w:before="100" w:beforeAutospacing="1" w:after="100" w:afterAutospacing="1" w:line="240" w:lineRule="auto"/>
    </w:pPr>
    <w:rPr>
      <w:rFonts w:ascii="Times" w:eastAsiaTheme="minorEastAsia" w:hAnsi="Times"/>
      <w:sz w:val="20"/>
      <w:szCs w:val="20"/>
    </w:rPr>
  </w:style>
  <w:style w:type="paragraph" w:styleId="Caption">
    <w:name w:val="caption"/>
    <w:basedOn w:val="Normal"/>
    <w:next w:val="Normal"/>
    <w:uiPriority w:val="35"/>
    <w:unhideWhenUsed/>
    <w:qFormat/>
    <w:rsid w:val="00653C0B"/>
    <w:pPr>
      <w:spacing w:line="240" w:lineRule="auto"/>
    </w:pPr>
    <w:rPr>
      <w:b/>
      <w:bCs/>
      <w:color w:val="4F81BD" w:themeColor="accent1"/>
      <w:sz w:val="18"/>
      <w:szCs w:val="18"/>
    </w:rPr>
  </w:style>
  <w:style w:type="paragraph" w:styleId="FootnoteText">
    <w:name w:val="footnote text"/>
    <w:basedOn w:val="Normal"/>
    <w:link w:val="FootnoteTextChar"/>
    <w:uiPriority w:val="99"/>
    <w:unhideWhenUsed/>
    <w:rsid w:val="004068AA"/>
    <w:pPr>
      <w:spacing w:after="0" w:line="240" w:lineRule="auto"/>
    </w:pPr>
    <w:rPr>
      <w:sz w:val="24"/>
      <w:szCs w:val="24"/>
    </w:rPr>
  </w:style>
  <w:style w:type="character" w:customStyle="1" w:styleId="FootnoteTextChar">
    <w:name w:val="Footnote Text Char"/>
    <w:basedOn w:val="DefaultParagraphFont"/>
    <w:link w:val="FootnoteText"/>
    <w:uiPriority w:val="99"/>
    <w:rsid w:val="004068AA"/>
    <w:rPr>
      <w:rFonts w:ascii="Verdana" w:hAnsi="Verdana"/>
    </w:rPr>
  </w:style>
  <w:style w:type="character" w:styleId="FootnoteReference">
    <w:name w:val="footnote reference"/>
    <w:basedOn w:val="DefaultParagraphFont"/>
    <w:uiPriority w:val="99"/>
    <w:unhideWhenUsed/>
    <w:rsid w:val="004068AA"/>
    <w:rPr>
      <w:vertAlign w:val="superscript"/>
    </w:rPr>
  </w:style>
  <w:style w:type="paragraph" w:customStyle="1" w:styleId="NoteLevel21">
    <w:name w:val="Note Level 21"/>
    <w:basedOn w:val="Normal"/>
    <w:uiPriority w:val="1"/>
    <w:qFormat/>
    <w:rsid w:val="00701F91"/>
    <w:pPr>
      <w:keepNext/>
      <w:spacing w:after="0"/>
      <w:contextualSpacing/>
      <w:outlineLvl w:val="1"/>
    </w:pPr>
  </w:style>
  <w:style w:type="character" w:customStyle="1" w:styleId="tgc">
    <w:name w:val="_tgc"/>
    <w:basedOn w:val="DefaultParagraphFont"/>
    <w:rsid w:val="0093733D"/>
  </w:style>
  <w:style w:type="character" w:customStyle="1" w:styleId="st">
    <w:name w:val="st"/>
    <w:basedOn w:val="DefaultParagraphFont"/>
    <w:rsid w:val="00B163C9"/>
  </w:style>
  <w:style w:type="character" w:styleId="CommentReference">
    <w:name w:val="annotation reference"/>
    <w:basedOn w:val="DefaultParagraphFont"/>
    <w:uiPriority w:val="99"/>
    <w:semiHidden/>
    <w:unhideWhenUsed/>
    <w:rsid w:val="00AC05E3"/>
    <w:rPr>
      <w:sz w:val="18"/>
      <w:szCs w:val="18"/>
    </w:rPr>
  </w:style>
  <w:style w:type="paragraph" w:styleId="CommentText">
    <w:name w:val="annotation text"/>
    <w:basedOn w:val="Normal"/>
    <w:link w:val="CommentTextChar"/>
    <w:uiPriority w:val="99"/>
    <w:semiHidden/>
    <w:unhideWhenUsed/>
    <w:rsid w:val="00AC05E3"/>
    <w:pPr>
      <w:spacing w:line="240" w:lineRule="auto"/>
    </w:pPr>
    <w:rPr>
      <w:sz w:val="24"/>
      <w:szCs w:val="24"/>
    </w:rPr>
  </w:style>
  <w:style w:type="character" w:customStyle="1" w:styleId="CommentTextChar">
    <w:name w:val="Comment Text Char"/>
    <w:basedOn w:val="DefaultParagraphFont"/>
    <w:link w:val="CommentText"/>
    <w:uiPriority w:val="99"/>
    <w:semiHidden/>
    <w:rsid w:val="00AC05E3"/>
    <w:rPr>
      <w:rFonts w:ascii="Verdana" w:hAnsi="Verdana"/>
    </w:rPr>
  </w:style>
  <w:style w:type="paragraph" w:styleId="CommentSubject">
    <w:name w:val="annotation subject"/>
    <w:basedOn w:val="CommentText"/>
    <w:next w:val="CommentText"/>
    <w:link w:val="CommentSubjectChar"/>
    <w:uiPriority w:val="99"/>
    <w:semiHidden/>
    <w:unhideWhenUsed/>
    <w:rsid w:val="00AC05E3"/>
    <w:rPr>
      <w:b/>
      <w:bCs/>
      <w:sz w:val="20"/>
      <w:szCs w:val="20"/>
    </w:rPr>
  </w:style>
  <w:style w:type="character" w:customStyle="1" w:styleId="CommentSubjectChar">
    <w:name w:val="Comment Subject Char"/>
    <w:basedOn w:val="CommentTextChar"/>
    <w:link w:val="CommentSubject"/>
    <w:uiPriority w:val="99"/>
    <w:semiHidden/>
    <w:rsid w:val="00AC05E3"/>
    <w:rPr>
      <w:rFonts w:ascii="Verdana" w:hAnsi="Verdana"/>
      <w:b/>
      <w:bCs/>
      <w:sz w:val="20"/>
      <w:szCs w:val="20"/>
    </w:rPr>
  </w:style>
  <w:style w:type="character" w:styleId="IntenseEmphasis">
    <w:name w:val="Intense Emphasis"/>
    <w:basedOn w:val="DefaultParagraphFont"/>
    <w:uiPriority w:val="21"/>
    <w:qFormat/>
    <w:rsid w:val="00AC05E3"/>
    <w:rPr>
      <w:b/>
      <w:bCs/>
      <w:i/>
      <w:iCs/>
      <w:color w:val="4F81BD" w:themeColor="accent1"/>
    </w:rPr>
  </w:style>
  <w:style w:type="character" w:styleId="Strong">
    <w:name w:val="Strong"/>
    <w:basedOn w:val="DefaultParagraphFont"/>
    <w:uiPriority w:val="22"/>
    <w:qFormat/>
    <w:rsid w:val="00AC05E3"/>
    <w:rPr>
      <w:b/>
      <w:bCs/>
    </w:rPr>
  </w:style>
  <w:style w:type="character" w:customStyle="1" w:styleId="Heading4Char">
    <w:name w:val="Heading 4 Char"/>
    <w:basedOn w:val="DefaultParagraphFont"/>
    <w:link w:val="Heading4"/>
    <w:uiPriority w:val="9"/>
    <w:semiHidden/>
    <w:rsid w:val="005E2328"/>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5E2328"/>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5E2328"/>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5E2328"/>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5E23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E2328"/>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3C27E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C27E0"/>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605397">
      <w:bodyDiv w:val="1"/>
      <w:marLeft w:val="0"/>
      <w:marRight w:val="0"/>
      <w:marTop w:val="0"/>
      <w:marBottom w:val="0"/>
      <w:divBdr>
        <w:top w:val="none" w:sz="0" w:space="0" w:color="auto"/>
        <w:left w:val="none" w:sz="0" w:space="0" w:color="auto"/>
        <w:bottom w:val="none" w:sz="0" w:space="0" w:color="auto"/>
        <w:right w:val="none" w:sz="0" w:space="0" w:color="auto"/>
      </w:divBdr>
      <w:divsChild>
        <w:div w:id="291640749">
          <w:marLeft w:val="720"/>
          <w:marRight w:val="0"/>
          <w:marTop w:val="144"/>
          <w:marBottom w:val="0"/>
          <w:divBdr>
            <w:top w:val="none" w:sz="0" w:space="0" w:color="auto"/>
            <w:left w:val="none" w:sz="0" w:space="0" w:color="auto"/>
            <w:bottom w:val="none" w:sz="0" w:space="0" w:color="auto"/>
            <w:right w:val="none" w:sz="0" w:space="0" w:color="auto"/>
          </w:divBdr>
        </w:div>
        <w:div w:id="1005858039">
          <w:marLeft w:val="720"/>
          <w:marRight w:val="0"/>
          <w:marTop w:val="144"/>
          <w:marBottom w:val="0"/>
          <w:divBdr>
            <w:top w:val="none" w:sz="0" w:space="0" w:color="auto"/>
            <w:left w:val="none" w:sz="0" w:space="0" w:color="auto"/>
            <w:bottom w:val="none" w:sz="0" w:space="0" w:color="auto"/>
            <w:right w:val="none" w:sz="0" w:space="0" w:color="auto"/>
          </w:divBdr>
        </w:div>
        <w:div w:id="1247764126">
          <w:marLeft w:val="720"/>
          <w:marRight w:val="0"/>
          <w:marTop w:val="144"/>
          <w:marBottom w:val="0"/>
          <w:divBdr>
            <w:top w:val="none" w:sz="0" w:space="0" w:color="auto"/>
            <w:left w:val="none" w:sz="0" w:space="0" w:color="auto"/>
            <w:bottom w:val="none" w:sz="0" w:space="0" w:color="auto"/>
            <w:right w:val="none" w:sz="0" w:space="0" w:color="auto"/>
          </w:divBdr>
        </w:div>
        <w:div w:id="1307928832">
          <w:marLeft w:val="720"/>
          <w:marRight w:val="0"/>
          <w:marTop w:val="144"/>
          <w:marBottom w:val="0"/>
          <w:divBdr>
            <w:top w:val="none" w:sz="0" w:space="0" w:color="auto"/>
            <w:left w:val="none" w:sz="0" w:space="0" w:color="auto"/>
            <w:bottom w:val="none" w:sz="0" w:space="0" w:color="auto"/>
            <w:right w:val="none" w:sz="0" w:space="0" w:color="auto"/>
          </w:divBdr>
        </w:div>
        <w:div w:id="1819348175">
          <w:marLeft w:val="720"/>
          <w:marRight w:val="0"/>
          <w:marTop w:val="144"/>
          <w:marBottom w:val="0"/>
          <w:divBdr>
            <w:top w:val="none" w:sz="0" w:space="0" w:color="auto"/>
            <w:left w:val="none" w:sz="0" w:space="0" w:color="auto"/>
            <w:bottom w:val="none" w:sz="0" w:space="0" w:color="auto"/>
            <w:right w:val="none" w:sz="0" w:space="0" w:color="auto"/>
          </w:divBdr>
        </w:div>
        <w:div w:id="2056463639">
          <w:marLeft w:val="720"/>
          <w:marRight w:val="0"/>
          <w:marTop w:val="144"/>
          <w:marBottom w:val="0"/>
          <w:divBdr>
            <w:top w:val="none" w:sz="0" w:space="0" w:color="auto"/>
            <w:left w:val="none" w:sz="0" w:space="0" w:color="auto"/>
            <w:bottom w:val="none" w:sz="0" w:space="0" w:color="auto"/>
            <w:right w:val="none" w:sz="0" w:space="0" w:color="auto"/>
          </w:divBdr>
        </w:div>
      </w:divsChild>
    </w:div>
    <w:div w:id="377248058">
      <w:bodyDiv w:val="1"/>
      <w:marLeft w:val="0"/>
      <w:marRight w:val="0"/>
      <w:marTop w:val="0"/>
      <w:marBottom w:val="0"/>
      <w:divBdr>
        <w:top w:val="none" w:sz="0" w:space="0" w:color="auto"/>
        <w:left w:val="none" w:sz="0" w:space="0" w:color="auto"/>
        <w:bottom w:val="none" w:sz="0" w:space="0" w:color="auto"/>
        <w:right w:val="none" w:sz="0" w:space="0" w:color="auto"/>
      </w:divBdr>
    </w:div>
    <w:div w:id="519854540">
      <w:bodyDiv w:val="1"/>
      <w:marLeft w:val="0"/>
      <w:marRight w:val="0"/>
      <w:marTop w:val="0"/>
      <w:marBottom w:val="0"/>
      <w:divBdr>
        <w:top w:val="none" w:sz="0" w:space="0" w:color="auto"/>
        <w:left w:val="none" w:sz="0" w:space="0" w:color="auto"/>
        <w:bottom w:val="none" w:sz="0" w:space="0" w:color="auto"/>
        <w:right w:val="none" w:sz="0" w:space="0" w:color="auto"/>
      </w:divBdr>
    </w:div>
    <w:div w:id="616181709">
      <w:bodyDiv w:val="1"/>
      <w:marLeft w:val="0"/>
      <w:marRight w:val="0"/>
      <w:marTop w:val="0"/>
      <w:marBottom w:val="0"/>
      <w:divBdr>
        <w:top w:val="none" w:sz="0" w:space="0" w:color="auto"/>
        <w:left w:val="none" w:sz="0" w:space="0" w:color="auto"/>
        <w:bottom w:val="none" w:sz="0" w:space="0" w:color="auto"/>
        <w:right w:val="none" w:sz="0" w:space="0" w:color="auto"/>
      </w:divBdr>
    </w:div>
    <w:div w:id="803691101">
      <w:bodyDiv w:val="1"/>
      <w:marLeft w:val="0"/>
      <w:marRight w:val="0"/>
      <w:marTop w:val="0"/>
      <w:marBottom w:val="0"/>
      <w:divBdr>
        <w:top w:val="none" w:sz="0" w:space="0" w:color="auto"/>
        <w:left w:val="none" w:sz="0" w:space="0" w:color="auto"/>
        <w:bottom w:val="none" w:sz="0" w:space="0" w:color="auto"/>
        <w:right w:val="none" w:sz="0" w:space="0" w:color="auto"/>
      </w:divBdr>
      <w:divsChild>
        <w:div w:id="71778880">
          <w:marLeft w:val="0"/>
          <w:marRight w:val="0"/>
          <w:marTop w:val="100"/>
          <w:marBottom w:val="100"/>
          <w:divBdr>
            <w:top w:val="none" w:sz="0" w:space="0" w:color="auto"/>
            <w:left w:val="none" w:sz="0" w:space="0" w:color="auto"/>
            <w:bottom w:val="none" w:sz="0" w:space="0" w:color="auto"/>
            <w:right w:val="none" w:sz="0" w:space="0" w:color="auto"/>
          </w:divBdr>
          <w:divsChild>
            <w:div w:id="871653273">
              <w:marLeft w:val="0"/>
              <w:marRight w:val="0"/>
              <w:marTop w:val="0"/>
              <w:marBottom w:val="0"/>
              <w:divBdr>
                <w:top w:val="none" w:sz="0" w:space="0" w:color="auto"/>
                <w:left w:val="none" w:sz="0" w:space="0" w:color="auto"/>
                <w:bottom w:val="none" w:sz="0" w:space="0" w:color="auto"/>
                <w:right w:val="none" w:sz="0" w:space="0" w:color="auto"/>
              </w:divBdr>
              <w:divsChild>
                <w:div w:id="561794892">
                  <w:marLeft w:val="198"/>
                  <w:marRight w:val="198"/>
                  <w:marTop w:val="0"/>
                  <w:marBottom w:val="198"/>
                  <w:divBdr>
                    <w:top w:val="none" w:sz="0" w:space="0" w:color="auto"/>
                    <w:left w:val="none" w:sz="0" w:space="0" w:color="auto"/>
                    <w:bottom w:val="none" w:sz="0" w:space="0" w:color="auto"/>
                    <w:right w:val="none" w:sz="0" w:space="0" w:color="auto"/>
                  </w:divBdr>
                </w:div>
              </w:divsChild>
            </w:div>
          </w:divsChild>
        </w:div>
      </w:divsChild>
    </w:div>
    <w:div w:id="935136424">
      <w:bodyDiv w:val="1"/>
      <w:marLeft w:val="0"/>
      <w:marRight w:val="0"/>
      <w:marTop w:val="0"/>
      <w:marBottom w:val="0"/>
      <w:divBdr>
        <w:top w:val="none" w:sz="0" w:space="0" w:color="auto"/>
        <w:left w:val="none" w:sz="0" w:space="0" w:color="auto"/>
        <w:bottom w:val="none" w:sz="0" w:space="0" w:color="auto"/>
        <w:right w:val="none" w:sz="0" w:space="0" w:color="auto"/>
      </w:divBdr>
      <w:divsChild>
        <w:div w:id="566450998">
          <w:marLeft w:val="720"/>
          <w:marRight w:val="0"/>
          <w:marTop w:val="144"/>
          <w:marBottom w:val="0"/>
          <w:divBdr>
            <w:top w:val="none" w:sz="0" w:space="0" w:color="auto"/>
            <w:left w:val="none" w:sz="0" w:space="0" w:color="auto"/>
            <w:bottom w:val="none" w:sz="0" w:space="0" w:color="auto"/>
            <w:right w:val="none" w:sz="0" w:space="0" w:color="auto"/>
          </w:divBdr>
        </w:div>
        <w:div w:id="1214081950">
          <w:marLeft w:val="720"/>
          <w:marRight w:val="0"/>
          <w:marTop w:val="144"/>
          <w:marBottom w:val="0"/>
          <w:divBdr>
            <w:top w:val="none" w:sz="0" w:space="0" w:color="auto"/>
            <w:left w:val="none" w:sz="0" w:space="0" w:color="auto"/>
            <w:bottom w:val="none" w:sz="0" w:space="0" w:color="auto"/>
            <w:right w:val="none" w:sz="0" w:space="0" w:color="auto"/>
          </w:divBdr>
        </w:div>
      </w:divsChild>
    </w:div>
    <w:div w:id="1158229567">
      <w:bodyDiv w:val="1"/>
      <w:marLeft w:val="0"/>
      <w:marRight w:val="0"/>
      <w:marTop w:val="0"/>
      <w:marBottom w:val="0"/>
      <w:divBdr>
        <w:top w:val="none" w:sz="0" w:space="0" w:color="auto"/>
        <w:left w:val="none" w:sz="0" w:space="0" w:color="auto"/>
        <w:bottom w:val="none" w:sz="0" w:space="0" w:color="auto"/>
        <w:right w:val="none" w:sz="0" w:space="0" w:color="auto"/>
      </w:divBdr>
    </w:div>
    <w:div w:id="1248998209">
      <w:bodyDiv w:val="1"/>
      <w:marLeft w:val="0"/>
      <w:marRight w:val="0"/>
      <w:marTop w:val="0"/>
      <w:marBottom w:val="0"/>
      <w:divBdr>
        <w:top w:val="none" w:sz="0" w:space="0" w:color="auto"/>
        <w:left w:val="none" w:sz="0" w:space="0" w:color="auto"/>
        <w:bottom w:val="none" w:sz="0" w:space="0" w:color="auto"/>
        <w:right w:val="none" w:sz="0" w:space="0" w:color="auto"/>
      </w:divBdr>
    </w:div>
    <w:div w:id="1383795447">
      <w:bodyDiv w:val="1"/>
      <w:marLeft w:val="0"/>
      <w:marRight w:val="0"/>
      <w:marTop w:val="0"/>
      <w:marBottom w:val="0"/>
      <w:divBdr>
        <w:top w:val="none" w:sz="0" w:space="0" w:color="auto"/>
        <w:left w:val="none" w:sz="0" w:space="0" w:color="auto"/>
        <w:bottom w:val="none" w:sz="0" w:space="0" w:color="auto"/>
        <w:right w:val="none" w:sz="0" w:space="0" w:color="auto"/>
      </w:divBdr>
    </w:div>
    <w:div w:id="1582789100">
      <w:bodyDiv w:val="1"/>
      <w:marLeft w:val="0"/>
      <w:marRight w:val="0"/>
      <w:marTop w:val="0"/>
      <w:marBottom w:val="0"/>
      <w:divBdr>
        <w:top w:val="none" w:sz="0" w:space="0" w:color="auto"/>
        <w:left w:val="none" w:sz="0" w:space="0" w:color="auto"/>
        <w:bottom w:val="none" w:sz="0" w:space="0" w:color="auto"/>
        <w:right w:val="none" w:sz="0" w:space="0" w:color="auto"/>
      </w:divBdr>
    </w:div>
    <w:div w:id="19742082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herc.ac.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rrinstitute.org" TargetMode="External"/><Relationship Id="rId40"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0362A-3C79-4CBF-8647-DABF5C91F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6274</CharactersWithSpaces>
  <SharedDoc>false</SharedDoc>
  <HLinks>
    <vt:vector size="30" baseType="variant">
      <vt:variant>
        <vt:i4>7143546</vt:i4>
      </vt:variant>
      <vt:variant>
        <vt:i4>18</vt:i4>
      </vt:variant>
      <vt:variant>
        <vt:i4>0</vt:i4>
      </vt:variant>
      <vt:variant>
        <vt:i4>5</vt:i4>
      </vt:variant>
      <vt:variant>
        <vt:lpwstr>http://www.data-archive.ac.uk/</vt:lpwstr>
      </vt:variant>
      <vt:variant>
        <vt:lpwstr/>
      </vt:variant>
      <vt:variant>
        <vt:i4>3997750</vt:i4>
      </vt:variant>
      <vt:variant>
        <vt:i4>9</vt:i4>
      </vt:variant>
      <vt:variant>
        <vt:i4>0</vt:i4>
      </vt:variant>
      <vt:variant>
        <vt:i4>5</vt:i4>
      </vt:variant>
      <vt:variant>
        <vt:lpwstr>http://www.obesityatlas.org.uk/</vt:lpwstr>
      </vt:variant>
      <vt:variant>
        <vt:lpwstr/>
      </vt:variant>
      <vt:variant>
        <vt:i4>7143464</vt:i4>
      </vt:variant>
      <vt:variant>
        <vt:i4>6</vt:i4>
      </vt:variant>
      <vt:variant>
        <vt:i4>0</vt:i4>
      </vt:variant>
      <vt:variant>
        <vt:i4>5</vt:i4>
      </vt:variant>
      <vt:variant>
        <vt:lpwstr>http://www.obesityelab.org.uk/</vt:lpwstr>
      </vt:variant>
      <vt:variant>
        <vt:lpwstr/>
      </vt:variant>
      <vt:variant>
        <vt:i4>7143464</vt:i4>
      </vt:variant>
      <vt:variant>
        <vt:i4>3</vt:i4>
      </vt:variant>
      <vt:variant>
        <vt:i4>0</vt:i4>
      </vt:variant>
      <vt:variant>
        <vt:i4>5</vt:i4>
      </vt:variant>
      <vt:variant>
        <vt:lpwstr>http://www.obesityelab.org.uk/</vt:lpwstr>
      </vt:variant>
      <vt:variant>
        <vt:lpwstr/>
      </vt:variant>
      <vt:variant>
        <vt:i4>4522056</vt:i4>
      </vt:variant>
      <vt:variant>
        <vt:i4>0</vt:i4>
      </vt:variant>
      <vt:variant>
        <vt:i4>0</vt:i4>
      </vt:variant>
      <vt:variant>
        <vt:i4>5</vt:i4>
      </vt:variant>
      <vt:variant>
        <vt:lpwstr>http://www.esds.ac.uk/government/hse/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Ainsworth</dc:creator>
  <cp:lastModifiedBy>Emily Griffiths</cp:lastModifiedBy>
  <cp:revision>2</cp:revision>
  <cp:lastPrinted>2015-11-15T21:20:00Z</cp:lastPrinted>
  <dcterms:created xsi:type="dcterms:W3CDTF">2017-12-15T12:30:00Z</dcterms:created>
  <dcterms:modified xsi:type="dcterms:W3CDTF">2017-12-15T12:30:00Z</dcterms:modified>
</cp:coreProperties>
</file>